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5" w:rsidRDefault="0004387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Environmental Science &amp; Management – Masters Degrees Course Requirements &amp; Course Lists</w:t>
      </w:r>
    </w:p>
    <w:p w:rsidR="00360DE5" w:rsidRDefault="0004387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For Students Starting Fall 2022 and After</w:t>
      </w:r>
    </w:p>
    <w:p w:rsidR="00360DE5" w:rsidRDefault="00360DE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360DE5" w:rsidRDefault="00043875">
      <w:pPr>
        <w:spacing w:after="12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Requirements</w:t>
      </w:r>
    </w:p>
    <w:p w:rsidR="00360DE5" w:rsidRDefault="00043875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MS: </w:t>
      </w:r>
      <w:r>
        <w:rPr>
          <w:rFonts w:ascii="Arial" w:eastAsia="Arial" w:hAnsi="Arial" w:cs="Arial"/>
          <w:sz w:val="21"/>
          <w:szCs w:val="21"/>
        </w:rPr>
        <w:t>Take at least one course from each core course category plus a second ecological or physical systems course; 4 courses of concentration and electives in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science, management, GIS, or other thesis related courses; practicum; 3 seminars; and 6-12 thesis credi</w:t>
      </w:r>
      <w:r>
        <w:rPr>
          <w:rFonts w:ascii="Arial" w:eastAsia="Arial" w:hAnsi="Arial" w:cs="Arial"/>
          <w:sz w:val="21"/>
          <w:szCs w:val="21"/>
        </w:rPr>
        <w:t>ts.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Courses outside the core and special course lists require a DARS exception and approval of the major advisor.</w:t>
      </w:r>
    </w:p>
    <w:p w:rsidR="00360DE5" w:rsidRDefault="00360DE5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:rsidR="00360DE5" w:rsidRDefault="0004387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MEM: </w:t>
      </w:r>
      <w:r>
        <w:rPr>
          <w:rFonts w:ascii="Arial" w:eastAsia="Arial" w:hAnsi="Arial" w:cs="Arial"/>
          <w:sz w:val="21"/>
          <w:szCs w:val="21"/>
        </w:rPr>
        <w:t>Take at least one course from each category; project management; 4 more courses of concentration and electives in science, management, G</w:t>
      </w:r>
      <w:r>
        <w:rPr>
          <w:rFonts w:ascii="Arial" w:eastAsia="Arial" w:hAnsi="Arial" w:cs="Arial"/>
          <w:sz w:val="21"/>
          <w:szCs w:val="21"/>
        </w:rPr>
        <w:t>IS, or other project related courses; practicum and project management courses; 3 seminars; and 5 project credits.  Courses outside the core and special course lists require a DARS exception and approval of the major advisor.</w:t>
      </w:r>
    </w:p>
    <w:p w:rsidR="00360DE5" w:rsidRDefault="00360DE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:rsidR="00360DE5" w:rsidRDefault="00043875">
      <w:pPr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PSM</w:t>
      </w:r>
      <w:r>
        <w:rPr>
          <w:rFonts w:ascii="Arial" w:eastAsia="Arial" w:hAnsi="Arial" w:cs="Arial"/>
          <w:sz w:val="21"/>
          <w:szCs w:val="21"/>
        </w:rPr>
        <w:t xml:space="preserve"> Take at least one course </w:t>
      </w:r>
      <w:r>
        <w:rPr>
          <w:rFonts w:ascii="Arial" w:eastAsia="Arial" w:hAnsi="Arial" w:cs="Arial"/>
          <w:sz w:val="21"/>
          <w:szCs w:val="21"/>
        </w:rPr>
        <w:t>from each category; 4 more courses in science, management, GIS, or other project related courses; practicum and project management courses; 3 seminars; 5 project credits; and 10 credits from PLUS Course List.  Courses outside the core and special course li</w:t>
      </w:r>
      <w:r>
        <w:rPr>
          <w:rFonts w:ascii="Arial" w:eastAsia="Arial" w:hAnsi="Arial" w:cs="Arial"/>
          <w:sz w:val="21"/>
          <w:szCs w:val="21"/>
        </w:rPr>
        <w:t>sts require a DARS exception and approval of the major advisor.</w:t>
      </w:r>
    </w:p>
    <w:p w:rsidR="00360DE5" w:rsidRDefault="00360DE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60DE5" w:rsidRDefault="00043875">
      <w:pPr>
        <w:spacing w:after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1"/>
          <w:szCs w:val="21"/>
        </w:rPr>
        <w:t>DARS Exceptions</w:t>
      </w:r>
      <w:r>
        <w:rPr>
          <w:rFonts w:ascii="Arial" w:eastAsia="Arial" w:hAnsi="Arial" w:cs="Arial"/>
          <w:sz w:val="21"/>
          <w:szCs w:val="21"/>
        </w:rPr>
        <w:t xml:space="preserve"> – Send the following information to the ESM Chair </w:t>
      </w:r>
      <w:r>
        <w:rPr>
          <w:rFonts w:ascii="Arial" w:eastAsia="Arial" w:hAnsi="Arial" w:cs="Arial"/>
          <w:sz w:val="21"/>
          <w:szCs w:val="21"/>
          <w:u w:val="single"/>
        </w:rPr>
        <w:t>(cc your major advisor)</w:t>
      </w:r>
      <w:r>
        <w:rPr>
          <w:rFonts w:ascii="Arial" w:eastAsia="Arial" w:hAnsi="Arial" w:cs="Arial"/>
          <w:sz w:val="21"/>
          <w:szCs w:val="21"/>
        </w:rPr>
        <w:t xml:space="preserve">: your PSU ID#, your degree, details of the request  including course taken and quarter (e.g. </w:t>
      </w:r>
      <w:proofErr w:type="spellStart"/>
      <w:r>
        <w:rPr>
          <w:rFonts w:ascii="Arial" w:eastAsia="Arial" w:hAnsi="Arial" w:cs="Arial"/>
          <w:sz w:val="21"/>
          <w:szCs w:val="21"/>
        </w:rPr>
        <w:t>Geog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5XX</w:t>
      </w:r>
      <w:r>
        <w:rPr>
          <w:rFonts w:ascii="Arial" w:eastAsia="Arial" w:hAnsi="Arial" w:cs="Arial"/>
          <w:sz w:val="21"/>
          <w:szCs w:val="21"/>
        </w:rPr>
        <w:t xml:space="preserve">, </w:t>
      </w:r>
      <w:proofErr w:type="gramStart"/>
      <w:r>
        <w:rPr>
          <w:rFonts w:ascii="Arial" w:eastAsia="Arial" w:hAnsi="Arial" w:cs="Arial"/>
          <w:sz w:val="21"/>
          <w:szCs w:val="21"/>
        </w:rPr>
        <w:t>Fall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2022), the DARS exception you would like made, (e.g., allow </w:t>
      </w:r>
      <w:proofErr w:type="spellStart"/>
      <w:r>
        <w:rPr>
          <w:rFonts w:ascii="Arial" w:eastAsia="Arial" w:hAnsi="Arial" w:cs="Arial"/>
          <w:sz w:val="21"/>
          <w:szCs w:val="21"/>
        </w:rPr>
        <w:t>Geog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5XX to count for DARS requirement #1 Core: Physical Systems), and the course catalog year you are using (e.g., 2022-2023 MS requirements). </w:t>
      </w:r>
    </w:p>
    <w:p w:rsidR="00360DE5" w:rsidRDefault="00360DE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360DE5" w:rsidRDefault="00043875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ESM Masters – Special Courses</w:t>
      </w:r>
    </w:p>
    <w:tbl>
      <w:tblPr>
        <w:tblStyle w:val="a"/>
        <w:tblW w:w="13140" w:type="dxa"/>
        <w:tblInd w:w="-125" w:type="dxa"/>
        <w:tblLayout w:type="fixed"/>
        <w:tblLook w:val="0400" w:firstRow="0" w:lastRow="0" w:firstColumn="0" w:lastColumn="0" w:noHBand="0" w:noVBand="1"/>
      </w:tblPr>
      <w:tblGrid>
        <w:gridCol w:w="1170"/>
        <w:gridCol w:w="1710"/>
        <w:gridCol w:w="4320"/>
        <w:gridCol w:w="5940"/>
      </w:tblGrid>
      <w:tr w:rsidR="00360DE5">
        <w:trPr>
          <w:trHeight w:val="25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Typical Quarter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Requirement</w:t>
            </w:r>
          </w:p>
        </w:tc>
      </w:tr>
      <w:tr w:rsidR="00360DE5">
        <w:trPr>
          <w:trHeight w:val="25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Practicum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Development</w:t>
            </w:r>
          </w:p>
        </w:tc>
      </w:tr>
      <w:tr w:rsidR="00360DE5">
        <w:trPr>
          <w:trHeight w:val="25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Project Management for Scientists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Development</w:t>
            </w:r>
          </w:p>
        </w:tc>
      </w:tr>
      <w:tr w:rsidR="00360DE5">
        <w:trPr>
          <w:trHeight w:val="25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510*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</w:pPr>
            <w:r>
              <w:t>Graduate Writing Seminar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Elective &amp; Supporting</w:t>
            </w:r>
          </w:p>
        </w:tc>
      </w:tr>
      <w:tr w:rsidR="00360DE5">
        <w:trPr>
          <w:trHeight w:val="25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Science Communication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Elective &amp; Supporting </w:t>
            </w:r>
          </w:p>
        </w:tc>
      </w:tr>
      <w:tr w:rsidR="00360DE5">
        <w:trPr>
          <w:trHeight w:val="25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556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Advanced Science Communication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Elective &amp; Supporting </w:t>
            </w:r>
          </w:p>
        </w:tc>
      </w:tr>
      <w:tr w:rsidR="00360DE5">
        <w:trPr>
          <w:trHeight w:val="2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557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Science, Media, and the Public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Elective &amp; Supporting </w:t>
            </w:r>
          </w:p>
        </w:tc>
      </w:tr>
      <w:tr w:rsidR="00360DE5">
        <w:trPr>
          <w:trHeight w:val="2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507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Speakers Seminar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507 Seminar</w:t>
            </w:r>
          </w:p>
        </w:tc>
      </w:tr>
      <w:tr w:rsidR="00360DE5">
        <w:trPr>
          <w:trHeight w:val="2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503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arrangement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Thesis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Thesis (MS)</w:t>
            </w:r>
          </w:p>
        </w:tc>
      </w:tr>
      <w:tr w:rsidR="00360DE5">
        <w:trPr>
          <w:trHeight w:val="2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506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arrangement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(MEM / PSM)</w:t>
            </w:r>
          </w:p>
        </w:tc>
      </w:tr>
      <w:tr w:rsidR="00360DE5">
        <w:trPr>
          <w:trHeight w:val="2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501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arrangement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Talk to your advisor</w:t>
            </w:r>
          </w:p>
        </w:tc>
      </w:tr>
      <w:tr w:rsidR="00360DE5">
        <w:trPr>
          <w:trHeight w:val="2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502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arrangement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Talk to your advisor</w:t>
            </w:r>
          </w:p>
        </w:tc>
      </w:tr>
      <w:tr w:rsidR="00360DE5">
        <w:trPr>
          <w:trHeight w:val="2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504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arrangement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Internship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Talk to your advisor</w:t>
            </w:r>
          </w:p>
        </w:tc>
      </w:tr>
      <w:tr w:rsidR="00360DE5">
        <w:trPr>
          <w:trHeight w:val="27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505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arrangement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Reading &amp; Conference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Talk to your advisor</w:t>
            </w:r>
          </w:p>
        </w:tc>
      </w:tr>
    </w:tbl>
    <w:p w:rsidR="00360DE5" w:rsidRDefault="00043875">
      <w:pPr>
        <w:rPr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F=Fall; W=Winter;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=Spring;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=Summer; </w:t>
      </w:r>
      <w:proofErr w:type="spellStart"/>
      <w:r>
        <w:rPr>
          <w:rFonts w:ascii="Arial" w:eastAsia="Arial" w:hAnsi="Arial" w:cs="Arial"/>
          <w:sz w:val="20"/>
          <w:szCs w:val="20"/>
        </w:rPr>
        <w:t>eo</w:t>
      </w:r>
      <w:proofErr w:type="spellEnd"/>
      <w:r>
        <w:rPr>
          <w:rFonts w:ascii="Arial" w:eastAsia="Arial" w:hAnsi="Arial" w:cs="Arial"/>
          <w:sz w:val="20"/>
          <w:szCs w:val="20"/>
        </w:rPr>
        <w:t>=every other; *=temporary course number.</w:t>
      </w:r>
    </w:p>
    <w:p w:rsidR="00360DE5" w:rsidRDefault="00360DE5">
      <w:pPr>
        <w:spacing w:after="120" w:line="240" w:lineRule="auto"/>
        <w:rPr>
          <w:rFonts w:ascii="Arial" w:eastAsia="Arial" w:hAnsi="Arial" w:cs="Arial"/>
          <w:b/>
          <w:u w:val="single"/>
        </w:rPr>
      </w:pPr>
    </w:p>
    <w:p w:rsidR="00360DE5" w:rsidRDefault="00043875">
      <w:pPr>
        <w:spacing w:after="12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ESM Masters – Core Course List</w:t>
      </w:r>
    </w:p>
    <w:tbl>
      <w:tblPr>
        <w:tblStyle w:val="a0"/>
        <w:tblW w:w="1313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160"/>
        <w:gridCol w:w="1350"/>
        <w:gridCol w:w="5130"/>
        <w:gridCol w:w="1080"/>
        <w:gridCol w:w="1248"/>
        <w:gridCol w:w="1632"/>
        <w:gridCol w:w="1530"/>
      </w:tblGrid>
      <w:tr w:rsidR="00360DE5">
        <w:trPr>
          <w:trHeight w:val="270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Typical Quarter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Physical Systems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Ecological Systems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Environmental Management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Advanced Data Analysis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510*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eoW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Snow Hydrology (winter)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Watershed Hydrology (spring)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eoSp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Watershed Biogeochemistry (every other spring)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Air Quality (winter)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eoF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Atmospheric Physics (every other fall)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Fate and Transport of Toxics (spring)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Applied Watershed Restoration (summer)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ESM 518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Landscape Ecology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Ecological Toxicology (fall)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eoSp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Wetland Ecology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Ecology of Stream &amp; Rivers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Forest Ecology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575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eoF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Limnology &amp; Aquatic Ecology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ESM 580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Coastal Marine Ecology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ESM 585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Ecology &amp; Management of Bio-invasions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Ecosystem Restoration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Urban Ecology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Impact Assessment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Natural Resource Policy and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</w:pPr>
            <w:proofErr w:type="spellStart"/>
            <w:r>
              <w:t>Su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Ecology &amp; Management of Wildfire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</w:pPr>
            <w:r>
              <w:t>W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Water Quality Policy and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Climate Adaptation: Managing Risks &amp; Vulnerability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Marine Conservation Science &amp;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Environmental Justice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Sustainability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0DE5">
        <w:trPr>
          <w:trHeight w:val="25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566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 / W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Data Analysis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360DE5">
        <w:trPr>
          <w:trHeight w:val="28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567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Multivariate Analysis of Ecological Systems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</w:tbl>
    <w:p w:rsidR="00360DE5" w:rsidRDefault="00043875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F=Fall; W=Winter;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=Spring;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=Summer; </w:t>
      </w:r>
      <w:proofErr w:type="spellStart"/>
      <w:r>
        <w:rPr>
          <w:rFonts w:ascii="Arial" w:eastAsia="Arial" w:hAnsi="Arial" w:cs="Arial"/>
          <w:sz w:val="20"/>
          <w:szCs w:val="20"/>
        </w:rPr>
        <w:t>eo</w:t>
      </w:r>
      <w:proofErr w:type="spellEnd"/>
      <w:r>
        <w:rPr>
          <w:rFonts w:ascii="Arial" w:eastAsia="Arial" w:hAnsi="Arial" w:cs="Arial"/>
          <w:sz w:val="20"/>
          <w:szCs w:val="20"/>
        </w:rPr>
        <w:t>=every other; *=temporary course number.</w:t>
      </w:r>
    </w:p>
    <w:p w:rsidR="00360DE5" w:rsidRDefault="00360DE5">
      <w:pPr>
        <w:spacing w:after="0" w:line="240" w:lineRule="auto"/>
        <w:rPr>
          <w:b/>
          <w:sz w:val="24"/>
          <w:szCs w:val="24"/>
          <w:u w:val="single"/>
        </w:rPr>
      </w:pPr>
    </w:p>
    <w:p w:rsidR="00360DE5" w:rsidRDefault="00360DE5">
      <w:pPr>
        <w:spacing w:after="0" w:line="240" w:lineRule="auto"/>
        <w:rPr>
          <w:b/>
          <w:sz w:val="24"/>
          <w:szCs w:val="24"/>
          <w:u w:val="single"/>
        </w:rPr>
      </w:pPr>
    </w:p>
    <w:p w:rsidR="00360DE5" w:rsidRDefault="00360DE5">
      <w:pPr>
        <w:spacing w:after="0" w:line="240" w:lineRule="auto"/>
        <w:rPr>
          <w:b/>
          <w:sz w:val="24"/>
          <w:szCs w:val="24"/>
          <w:u w:val="single"/>
        </w:rPr>
      </w:pPr>
    </w:p>
    <w:p w:rsidR="00360DE5" w:rsidRDefault="00360DE5">
      <w:pPr>
        <w:spacing w:after="0" w:line="240" w:lineRule="auto"/>
        <w:rPr>
          <w:b/>
          <w:sz w:val="24"/>
          <w:szCs w:val="24"/>
          <w:u w:val="single"/>
        </w:rPr>
      </w:pPr>
    </w:p>
    <w:p w:rsidR="00360DE5" w:rsidRDefault="0004387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ESM Masters – PLUS Courses</w:t>
      </w:r>
    </w:p>
    <w:p w:rsidR="00360DE5" w:rsidRDefault="000438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 credits of PLUS courses are required for the PSM degree with at least 2 credits in each PLUS course area.  The PLUS Course list is not exhaustive and students who find courses not on the PLUS Course list will require a DARS ex</w:t>
      </w:r>
      <w:r>
        <w:rPr>
          <w:rFonts w:ascii="Arial" w:eastAsia="Arial" w:hAnsi="Arial" w:cs="Arial"/>
          <w:sz w:val="20"/>
          <w:szCs w:val="20"/>
        </w:rPr>
        <w:t>ception to apply courses approved by their committees, but that are not on the PLUS Course list.</w:t>
      </w:r>
    </w:p>
    <w:p w:rsidR="00360DE5" w:rsidRDefault="0004387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MS and MEM students can use PLUS courses to fulfill area of concentration or elective and supporting credits with approval of their graduate committee.  </w:t>
      </w:r>
    </w:p>
    <w:tbl>
      <w:tblPr>
        <w:tblStyle w:val="a1"/>
        <w:tblW w:w="14640" w:type="dxa"/>
        <w:tblInd w:w="-565" w:type="dxa"/>
        <w:tblLayout w:type="fixed"/>
        <w:tblLook w:val="0400" w:firstRow="0" w:lastRow="0" w:firstColumn="0" w:lastColumn="0" w:noHBand="0" w:noVBand="1"/>
      </w:tblPr>
      <w:tblGrid>
        <w:gridCol w:w="1290"/>
        <w:gridCol w:w="990"/>
        <w:gridCol w:w="4860"/>
        <w:gridCol w:w="1080"/>
        <w:gridCol w:w="1890"/>
        <w:gridCol w:w="1530"/>
        <w:gridCol w:w="1530"/>
        <w:gridCol w:w="1470"/>
      </w:tblGrid>
      <w:tr w:rsidR="00360DE5">
        <w:trPr>
          <w:trHeight w:val="30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 #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Typical Quarter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Communications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Policy, Laws, Regulations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 Management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Professional</w:t>
            </w:r>
          </w:p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Ethics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ESM 555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Science Communication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ESM 556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Advanced Science Communication Skills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ESM 557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Science, Media and the Public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 523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Organizational Communication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ETM 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Technology Management Writing and Presentations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ETM 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evF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Communication and Teambuilding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ESM 535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Natural Resource Policy &amp;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ESM 552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Environmental Regulations &amp; Non-regulatory Approaches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 528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Organizational Leadership and Decision Making for Nonprofit Organizations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 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Introduction to Nonprofit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 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Grant Writing for Nonprofit Organizations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 555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Evaluation and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 536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Strategic Planning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ETM 544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evF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Organizational Project Management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ETM 546†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evSp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Project Management Tools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ETM 558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evW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Engineering Financial Management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ETM 518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Ethical Issues in Technology Management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 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onW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Administrative Ethics and Values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360DE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60DE5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 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Values-Based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60DE5" w:rsidRDefault="0004387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360DE5" w:rsidRDefault="00043875">
      <w:pPr>
        <w:rPr>
          <w:b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F=Fall; W=Winter; </w:t>
      </w:r>
      <w:proofErr w:type="spellStart"/>
      <w:r>
        <w:rPr>
          <w:rFonts w:ascii="Arial" w:eastAsia="Arial" w:hAnsi="Arial" w:cs="Arial"/>
          <w:sz w:val="20"/>
          <w:szCs w:val="20"/>
        </w:rPr>
        <w:t>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=Spring;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=Summer; </w:t>
      </w:r>
      <w:proofErr w:type="spellStart"/>
      <w:r>
        <w:rPr>
          <w:rFonts w:ascii="Arial" w:eastAsia="Arial" w:hAnsi="Arial" w:cs="Arial"/>
          <w:sz w:val="20"/>
          <w:szCs w:val="20"/>
        </w:rPr>
        <w:t>eo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=every other; </w:t>
      </w:r>
      <w:proofErr w:type="spellStart"/>
      <w:r>
        <w:rPr>
          <w:rFonts w:ascii="Arial" w:eastAsia="Arial" w:hAnsi="Arial" w:cs="Arial"/>
          <w:sz w:val="20"/>
          <w:szCs w:val="20"/>
        </w:rPr>
        <w:t>ev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=evening; on=online; </w:t>
      </w:r>
      <w:r>
        <w:rPr>
          <w:rFonts w:ascii="Arial" w:eastAsia="Arial" w:hAnsi="Arial" w:cs="Arial"/>
          <w:color w:val="000000"/>
          <w:sz w:val="20"/>
          <w:szCs w:val="20"/>
        </w:rPr>
        <w:t>†</w:t>
      </w:r>
      <w:r>
        <w:rPr>
          <w:rFonts w:ascii="Arial" w:eastAsia="Arial" w:hAnsi="Arial" w:cs="Arial"/>
          <w:sz w:val="20"/>
          <w:szCs w:val="20"/>
        </w:rPr>
        <w:t xml:space="preserve">= To be taken after ESM 551 </w:t>
      </w:r>
      <w:r>
        <w:rPr>
          <w:rFonts w:ascii="Arial" w:eastAsia="Arial" w:hAnsi="Arial" w:cs="Arial"/>
          <w:sz w:val="20"/>
          <w:szCs w:val="20"/>
        </w:rPr>
        <w:br/>
        <w:t>Course availability by term and mode are subject to change at the discretion of the department in which the course is listed.</w:t>
      </w:r>
    </w:p>
    <w:p w:rsidR="00360DE5" w:rsidRDefault="00360DE5">
      <w:pPr>
        <w:rPr>
          <w:b/>
          <w:sz w:val="24"/>
          <w:szCs w:val="24"/>
          <w:u w:val="single"/>
        </w:rPr>
        <w:sectPr w:rsidR="00360DE5">
          <w:footerReference w:type="even" r:id="rId8"/>
          <w:footerReference w:type="default" r:id="rId9"/>
          <w:pgSz w:w="15840" w:h="12240" w:orient="landscape"/>
          <w:pgMar w:top="639" w:right="1440" w:bottom="1440" w:left="1440" w:header="720" w:footer="720" w:gutter="0"/>
          <w:pgNumType w:start="1"/>
          <w:cols w:space="720"/>
        </w:sectPr>
      </w:pPr>
    </w:p>
    <w:p w:rsidR="00360DE5" w:rsidRDefault="000438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Other Potential PLUS Courses requiring DARS Exceptions</w:t>
      </w:r>
    </w:p>
    <w:p w:rsidR="00360DE5" w:rsidRDefault="00043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Communications</w:t>
      </w:r>
    </w:p>
    <w:p w:rsidR="00360DE5" w:rsidRDefault="000438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Comm 548 (Issues in Science and Environmental Communications /</w:t>
      </w:r>
      <w:proofErr w:type="spellStart"/>
      <w:r>
        <w:rPr>
          <w:color w:val="000000"/>
        </w:rPr>
        <w:t>eoF</w:t>
      </w:r>
      <w:proofErr w:type="spellEnd"/>
      <w:r>
        <w:rPr>
          <w:color w:val="000000"/>
        </w:rPr>
        <w:t xml:space="preserve">, 4cr) </w:t>
      </w:r>
    </w:p>
    <w:p w:rsidR="00360DE5" w:rsidRDefault="000438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Comm 545 (Risk &amp; Strategic Communication /W, 4cr)</w:t>
      </w:r>
    </w:p>
    <w:p w:rsidR="00360DE5" w:rsidRDefault="000438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>
        <w:rPr>
          <w:color w:val="000000"/>
        </w:rPr>
        <w:t>Wr</w:t>
      </w:r>
      <w:proofErr w:type="spellEnd"/>
      <w:r>
        <w:rPr>
          <w:color w:val="000000"/>
        </w:rPr>
        <w:t xml:space="preserve"> 535 (Advanced Technical Writing /</w:t>
      </w:r>
      <w:proofErr w:type="spellStart"/>
      <w:r>
        <w:rPr>
          <w:color w:val="000000"/>
        </w:rPr>
        <w:t>Fev</w:t>
      </w:r>
      <w:proofErr w:type="spellEnd"/>
      <w:r>
        <w:rPr>
          <w:color w:val="000000"/>
        </w:rPr>
        <w:t>, 4cr)</w:t>
      </w:r>
    </w:p>
    <w:p w:rsidR="00360DE5" w:rsidRDefault="00043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Policy, Laws, and Regulations</w:t>
      </w:r>
    </w:p>
    <w:p w:rsidR="00360DE5" w:rsidRDefault="00043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PA553 (Sustainable Development Policy &amp; Governance /W, 3c</w:t>
      </w:r>
      <w:r>
        <w:rPr>
          <w:color w:val="000000"/>
        </w:rPr>
        <w:t>r)</w:t>
      </w:r>
    </w:p>
    <w:p w:rsidR="00360DE5" w:rsidRDefault="00043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564 (Current Issues in Environmental Policy and Administration /W, 3cr)</w:t>
      </w:r>
    </w:p>
    <w:p w:rsidR="00360DE5" w:rsidRDefault="00043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565 (Natural Resource Policy and Administration /F, 3cr)</w:t>
      </w:r>
    </w:p>
    <w:p w:rsidR="00360DE5" w:rsidRDefault="00043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566 (Water Resources Policy and Administration /W, 3cr)</w:t>
      </w:r>
    </w:p>
    <w:p w:rsidR="00360DE5" w:rsidRDefault="00043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568 (Forest Policy and Administration /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>, 3cr)</w:t>
      </w:r>
    </w:p>
    <w:p w:rsidR="00360DE5" w:rsidRDefault="00043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569 (Fish and Wildli</w:t>
      </w:r>
      <w:r>
        <w:rPr>
          <w:color w:val="000000"/>
        </w:rPr>
        <w:t xml:space="preserve">fe Policy and </w:t>
      </w:r>
      <w:proofErr w:type="spellStart"/>
      <w:r>
        <w:rPr>
          <w:color w:val="000000"/>
        </w:rPr>
        <w:t>Admistration</w:t>
      </w:r>
      <w:proofErr w:type="spellEnd"/>
      <w:r>
        <w:rPr>
          <w:color w:val="000000"/>
        </w:rPr>
        <w:t xml:space="preserve"> /W, 3cr)</w:t>
      </w:r>
    </w:p>
    <w:p w:rsidR="00360DE5" w:rsidRDefault="00043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USP 571 (Environmental Policy /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>, 3cr)</w:t>
      </w:r>
    </w:p>
    <w:p w:rsidR="00360DE5" w:rsidRDefault="00043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Project Management</w:t>
      </w:r>
    </w:p>
    <w:p w:rsidR="00360DE5" w:rsidRDefault="00043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ETM 525 (Strategic Planning / F, 4cr) </w:t>
      </w:r>
    </w:p>
    <w:p w:rsidR="00360DE5" w:rsidRDefault="00043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ETM 545 (Project Management /W/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>, 4cr.)</w:t>
      </w:r>
    </w:p>
    <w:p w:rsidR="00360DE5" w:rsidRDefault="00043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Professional Ethics</w:t>
      </w:r>
    </w:p>
    <w:p w:rsidR="00360DE5" w:rsidRDefault="000438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BI 520 (Ethical Practice in the Life Sciences /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>, 4cr)</w:t>
      </w:r>
    </w:p>
    <w:p w:rsidR="00360DE5" w:rsidRDefault="000438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PA 517 (Leadership Development for Public Organizations /W, 3cr)</w:t>
      </w:r>
    </w:p>
    <w:sectPr w:rsidR="00360DE5">
      <w:pgSz w:w="12240" w:h="15840"/>
      <w:pgMar w:top="63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75" w:rsidRDefault="00043875">
      <w:pPr>
        <w:spacing w:after="0" w:line="240" w:lineRule="auto"/>
      </w:pPr>
      <w:r>
        <w:separator/>
      </w:r>
    </w:p>
  </w:endnote>
  <w:endnote w:type="continuationSeparator" w:id="0">
    <w:p w:rsidR="00043875" w:rsidRDefault="0004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E5" w:rsidRDefault="0004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0DE5" w:rsidRDefault="00360D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E5" w:rsidRDefault="0004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C5069">
      <w:rPr>
        <w:color w:val="000000"/>
      </w:rPr>
      <w:fldChar w:fldCharType="separate"/>
    </w:r>
    <w:r w:rsidR="00DC5069">
      <w:rPr>
        <w:noProof/>
        <w:color w:val="000000"/>
      </w:rPr>
      <w:t>1</w:t>
    </w:r>
    <w:r>
      <w:rPr>
        <w:color w:val="000000"/>
      </w:rPr>
      <w:fldChar w:fldCharType="end"/>
    </w:r>
  </w:p>
  <w:p w:rsidR="00360DE5" w:rsidRDefault="0004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>
      <w:rPr>
        <w:color w:val="000000"/>
      </w:rPr>
      <w:t>Updated September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75" w:rsidRDefault="00043875">
      <w:pPr>
        <w:spacing w:after="0" w:line="240" w:lineRule="auto"/>
      </w:pPr>
      <w:r>
        <w:separator/>
      </w:r>
    </w:p>
  </w:footnote>
  <w:footnote w:type="continuationSeparator" w:id="0">
    <w:p w:rsidR="00043875" w:rsidRDefault="0004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E6935"/>
    <w:multiLevelType w:val="multilevel"/>
    <w:tmpl w:val="BA644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4F95"/>
    <w:multiLevelType w:val="multilevel"/>
    <w:tmpl w:val="B7A83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57A5A"/>
    <w:multiLevelType w:val="multilevel"/>
    <w:tmpl w:val="3FFC1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4339"/>
    <w:multiLevelType w:val="multilevel"/>
    <w:tmpl w:val="60DC6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E5"/>
    <w:rsid w:val="00043875"/>
    <w:rsid w:val="00360DE5"/>
    <w:rsid w:val="00D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6AA4C-FA77-4A97-8745-2B5964E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09"/>
    <w:rPr>
      <w:b/>
      <w:bCs/>
      <w:sz w:val="20"/>
      <w:szCs w:val="20"/>
    </w:rPr>
  </w:style>
  <w:style w:type="paragraph" w:customStyle="1" w:styleId="Default">
    <w:name w:val="Default"/>
    <w:rsid w:val="00820C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1E"/>
  </w:style>
  <w:style w:type="paragraph" w:styleId="Footer">
    <w:name w:val="footer"/>
    <w:basedOn w:val="Normal"/>
    <w:link w:val="FooterChar"/>
    <w:uiPriority w:val="99"/>
    <w:unhideWhenUsed/>
    <w:rsid w:val="0078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1E"/>
  </w:style>
  <w:style w:type="paragraph" w:styleId="ListParagraph">
    <w:name w:val="List Paragraph"/>
    <w:basedOn w:val="Normal"/>
    <w:uiPriority w:val="34"/>
    <w:qFormat/>
    <w:rsid w:val="0078011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1BC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zsOUeURYnq2ovI6ODrgOtJCOg==">AMUW2mVOc4IYIbUqEntCAR5yGHDGiyyr7h5IVHX5FXYF3vmMfYQdZzNhcaPk610MwcUjtMJgzivnqlfLiM6oSjnWv2QoipxrcjVDwpq1BKUDKeGtEPk9kyc=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 Rivera</dc:creator>
  <cp:lastModifiedBy>Sherie Huffman</cp:lastModifiedBy>
  <cp:revision>2</cp:revision>
  <dcterms:created xsi:type="dcterms:W3CDTF">2022-11-04T17:58:00Z</dcterms:created>
  <dcterms:modified xsi:type="dcterms:W3CDTF">2022-11-04T17:58:00Z</dcterms:modified>
</cp:coreProperties>
</file>