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EA1F0" w14:textId="4FF083CA" w:rsidR="004917FD" w:rsidRPr="007D20D4" w:rsidRDefault="004917FD">
      <w:pPr>
        <w:rPr>
          <w:rFonts w:ascii="Arial" w:hAnsi="Arial" w:cs="Arial"/>
          <w:b/>
          <w:sz w:val="20"/>
        </w:rPr>
      </w:pPr>
      <w:r w:rsidRPr="007D20D4">
        <w:rPr>
          <w:rFonts w:ascii="Arial" w:hAnsi="Arial" w:cs="Arial"/>
          <w:b/>
          <w:sz w:val="20"/>
        </w:rPr>
        <w:t xml:space="preserve">Key for Departmental Guidelines: </w:t>
      </w:r>
      <w:r w:rsidR="00205796" w:rsidRPr="007D20D4">
        <w:rPr>
          <w:rFonts w:ascii="Arial" w:hAnsi="Arial" w:cs="Arial"/>
          <w:b/>
          <w:sz w:val="20"/>
          <w:highlight w:val="magenta"/>
        </w:rPr>
        <w:t>Must be added</w:t>
      </w:r>
      <w:r w:rsidR="00205796" w:rsidRPr="007D20D4">
        <w:rPr>
          <w:rFonts w:ascii="Arial" w:hAnsi="Arial" w:cs="Arial"/>
          <w:b/>
          <w:sz w:val="20"/>
        </w:rPr>
        <w:tab/>
      </w:r>
      <w:r w:rsidR="00205796" w:rsidRPr="007D20D4">
        <w:rPr>
          <w:rFonts w:ascii="Arial" w:hAnsi="Arial" w:cs="Arial"/>
          <w:b/>
          <w:sz w:val="20"/>
          <w:highlight w:val="green"/>
        </w:rPr>
        <w:t>Must be created</w:t>
      </w:r>
      <w:r w:rsidRPr="007D20D4">
        <w:rPr>
          <w:rFonts w:ascii="Arial" w:hAnsi="Arial" w:cs="Arial"/>
          <w:b/>
          <w:sz w:val="20"/>
        </w:rPr>
        <w:tab/>
      </w:r>
      <w:r w:rsidRPr="007D20D4">
        <w:rPr>
          <w:rFonts w:ascii="Arial" w:hAnsi="Arial" w:cs="Arial"/>
          <w:b/>
          <w:sz w:val="20"/>
          <w:highlight w:val="yellow"/>
        </w:rPr>
        <w:t>Optional</w:t>
      </w:r>
    </w:p>
    <w:tbl>
      <w:tblPr>
        <w:tblStyle w:val="TableGrid"/>
        <w:tblW w:w="17755" w:type="dxa"/>
        <w:tblInd w:w="-995" w:type="dxa"/>
        <w:tblLayout w:type="fixed"/>
        <w:tblLook w:val="04A0" w:firstRow="1" w:lastRow="0" w:firstColumn="1" w:lastColumn="0" w:noHBand="0" w:noVBand="1"/>
      </w:tblPr>
      <w:tblGrid>
        <w:gridCol w:w="1828"/>
        <w:gridCol w:w="939"/>
        <w:gridCol w:w="528"/>
        <w:gridCol w:w="3545"/>
        <w:gridCol w:w="1260"/>
        <w:gridCol w:w="5768"/>
        <w:gridCol w:w="3887"/>
      </w:tblGrid>
      <w:tr w:rsidR="00AB4C1D" w14:paraId="50875645" w14:textId="77777777" w:rsidTr="00737BCA">
        <w:trPr>
          <w:trHeight w:val="621"/>
        </w:trPr>
        <w:tc>
          <w:tcPr>
            <w:tcW w:w="1828" w:type="dxa"/>
          </w:tcPr>
          <w:p w14:paraId="5310F52F" w14:textId="77777777" w:rsidR="00AB4C1D" w:rsidRPr="006328A2" w:rsidRDefault="00AB4C1D">
            <w:pPr>
              <w:rPr>
                <w:rFonts w:ascii="Arial" w:hAnsi="Arial" w:cs="Arial"/>
                <w:b/>
                <w:sz w:val="20"/>
              </w:rPr>
            </w:pPr>
            <w:r w:rsidRPr="006328A2">
              <w:rPr>
                <w:rFonts w:ascii="Arial" w:hAnsi="Arial" w:cs="Arial"/>
                <w:b/>
                <w:sz w:val="20"/>
              </w:rPr>
              <w:t>Article Title</w:t>
            </w:r>
          </w:p>
        </w:tc>
        <w:tc>
          <w:tcPr>
            <w:tcW w:w="939" w:type="dxa"/>
          </w:tcPr>
          <w:p w14:paraId="4C9AF7D2" w14:textId="77777777" w:rsidR="00AB4C1D" w:rsidRPr="006328A2" w:rsidRDefault="00AB4C1D" w:rsidP="005904BD">
            <w:pPr>
              <w:rPr>
                <w:rFonts w:ascii="Arial" w:hAnsi="Arial" w:cs="Arial"/>
                <w:b/>
                <w:sz w:val="20"/>
              </w:rPr>
            </w:pPr>
            <w:r w:rsidRPr="006328A2">
              <w:rPr>
                <w:rFonts w:ascii="Arial" w:hAnsi="Arial" w:cs="Arial"/>
                <w:b/>
                <w:sz w:val="20"/>
              </w:rPr>
              <w:t>Article-</w:t>
            </w:r>
          </w:p>
          <w:p w14:paraId="702214C5" w14:textId="77777777" w:rsidR="00AB4C1D" w:rsidRPr="006328A2" w:rsidRDefault="00AB4C1D" w:rsidP="005904BD">
            <w:pPr>
              <w:rPr>
                <w:rFonts w:ascii="Arial" w:hAnsi="Arial" w:cs="Arial"/>
                <w:b/>
                <w:sz w:val="20"/>
              </w:rPr>
            </w:pPr>
            <w:r w:rsidRPr="006328A2">
              <w:rPr>
                <w:rFonts w:ascii="Arial" w:hAnsi="Arial" w:cs="Arial"/>
                <w:b/>
                <w:sz w:val="20"/>
              </w:rPr>
              <w:t>Section</w:t>
            </w:r>
          </w:p>
        </w:tc>
        <w:tc>
          <w:tcPr>
            <w:tcW w:w="528" w:type="dxa"/>
          </w:tcPr>
          <w:p w14:paraId="6683AF78" w14:textId="77777777" w:rsidR="00AB4C1D" w:rsidRPr="006328A2" w:rsidRDefault="00AB4C1D">
            <w:pPr>
              <w:rPr>
                <w:rFonts w:ascii="Arial" w:hAnsi="Arial" w:cs="Arial"/>
                <w:b/>
                <w:sz w:val="20"/>
              </w:rPr>
            </w:pPr>
            <w:r w:rsidRPr="006328A2">
              <w:rPr>
                <w:rFonts w:ascii="Arial" w:hAnsi="Arial" w:cs="Arial"/>
                <w:b/>
                <w:sz w:val="20"/>
              </w:rPr>
              <w:t>Pg.</w:t>
            </w:r>
          </w:p>
        </w:tc>
        <w:tc>
          <w:tcPr>
            <w:tcW w:w="3545" w:type="dxa"/>
          </w:tcPr>
          <w:p w14:paraId="64EF69A1" w14:textId="77777777" w:rsidR="00AB4C1D" w:rsidRPr="006328A2" w:rsidRDefault="00AB4C1D" w:rsidP="005904BD">
            <w:pPr>
              <w:rPr>
                <w:rFonts w:ascii="Arial" w:hAnsi="Arial" w:cs="Arial"/>
                <w:b/>
                <w:sz w:val="20"/>
              </w:rPr>
            </w:pPr>
            <w:r w:rsidRPr="006328A2">
              <w:rPr>
                <w:rFonts w:ascii="Arial" w:hAnsi="Arial" w:cs="Arial"/>
                <w:b/>
                <w:sz w:val="20"/>
              </w:rPr>
              <w:t>Requirement as described in CBA/FS report</w:t>
            </w:r>
          </w:p>
        </w:tc>
        <w:tc>
          <w:tcPr>
            <w:tcW w:w="1260" w:type="dxa"/>
          </w:tcPr>
          <w:p w14:paraId="4FB439ED" w14:textId="6ED3E575" w:rsidR="00AB4C1D" w:rsidRPr="006328A2" w:rsidRDefault="00FA2744">
            <w:pPr>
              <w:rPr>
                <w:rFonts w:ascii="Arial" w:hAnsi="Arial" w:cs="Arial"/>
                <w:b/>
                <w:sz w:val="20"/>
              </w:rPr>
            </w:pPr>
            <w:r>
              <w:rPr>
                <w:rFonts w:ascii="Arial" w:hAnsi="Arial" w:cs="Arial"/>
                <w:b/>
                <w:sz w:val="20"/>
              </w:rPr>
              <w:t>Language</w:t>
            </w:r>
            <w:r w:rsidR="00AB4C1D" w:rsidRPr="006328A2">
              <w:rPr>
                <w:rFonts w:ascii="Arial" w:hAnsi="Arial" w:cs="Arial"/>
                <w:b/>
                <w:sz w:val="20"/>
              </w:rPr>
              <w:t xml:space="preserve"> to add to</w:t>
            </w:r>
          </w:p>
        </w:tc>
        <w:tc>
          <w:tcPr>
            <w:tcW w:w="5768" w:type="dxa"/>
          </w:tcPr>
          <w:p w14:paraId="501F1D47" w14:textId="77777777" w:rsidR="00AB4C1D" w:rsidRPr="006328A2" w:rsidRDefault="00AB4C1D">
            <w:pPr>
              <w:rPr>
                <w:rFonts w:ascii="Arial" w:hAnsi="Arial" w:cs="Arial"/>
                <w:b/>
                <w:sz w:val="20"/>
              </w:rPr>
            </w:pPr>
            <w:r w:rsidRPr="006328A2">
              <w:rPr>
                <w:rFonts w:ascii="Arial" w:hAnsi="Arial" w:cs="Arial"/>
                <w:b/>
                <w:sz w:val="20"/>
              </w:rPr>
              <w:t>What should be added?</w:t>
            </w:r>
          </w:p>
        </w:tc>
        <w:tc>
          <w:tcPr>
            <w:tcW w:w="3887" w:type="dxa"/>
          </w:tcPr>
          <w:p w14:paraId="723AB038" w14:textId="77777777" w:rsidR="00AB4C1D" w:rsidRPr="006328A2" w:rsidRDefault="00AB4C1D">
            <w:pPr>
              <w:rPr>
                <w:rFonts w:ascii="Arial" w:hAnsi="Arial" w:cs="Arial"/>
                <w:b/>
                <w:sz w:val="20"/>
              </w:rPr>
            </w:pPr>
            <w:r w:rsidRPr="006328A2">
              <w:rPr>
                <w:rFonts w:ascii="Arial" w:hAnsi="Arial" w:cs="Arial"/>
                <w:b/>
                <w:sz w:val="20"/>
              </w:rPr>
              <w:t>Specific Required Language</w:t>
            </w:r>
          </w:p>
        </w:tc>
      </w:tr>
      <w:tr w:rsidR="00AB4C1D" w14:paraId="3B19C419" w14:textId="77777777" w:rsidTr="00FA2744">
        <w:trPr>
          <w:trHeight w:val="2160"/>
        </w:trPr>
        <w:tc>
          <w:tcPr>
            <w:tcW w:w="1828" w:type="dxa"/>
          </w:tcPr>
          <w:p w14:paraId="71B1CA59" w14:textId="77777777" w:rsidR="00AB4C1D" w:rsidRPr="00D658C9" w:rsidRDefault="00AB4C1D" w:rsidP="005904BD">
            <w:pPr>
              <w:rPr>
                <w:rFonts w:ascii="Times New Roman" w:hAnsi="Times New Roman" w:cs="Times New Roman"/>
                <w:sz w:val="20"/>
                <w:szCs w:val="18"/>
              </w:rPr>
            </w:pPr>
          </w:p>
        </w:tc>
        <w:tc>
          <w:tcPr>
            <w:tcW w:w="939" w:type="dxa"/>
          </w:tcPr>
          <w:p w14:paraId="4CAC9CF6" w14:textId="23DD18DB" w:rsidR="00AB4C1D" w:rsidRPr="00D658C9" w:rsidRDefault="007051CC" w:rsidP="005904BD">
            <w:pPr>
              <w:rPr>
                <w:rFonts w:ascii="Times New Roman" w:hAnsi="Times New Roman" w:cs="Times New Roman"/>
                <w:sz w:val="20"/>
                <w:szCs w:val="18"/>
              </w:rPr>
            </w:pPr>
            <w:r>
              <w:rPr>
                <w:rFonts w:ascii="Times New Roman" w:hAnsi="Times New Roman" w:cs="Times New Roman"/>
                <w:sz w:val="20"/>
                <w:szCs w:val="18"/>
              </w:rPr>
              <w:t>NA</w:t>
            </w:r>
          </w:p>
        </w:tc>
        <w:tc>
          <w:tcPr>
            <w:tcW w:w="528" w:type="dxa"/>
          </w:tcPr>
          <w:p w14:paraId="150E611C" w14:textId="07CAB244" w:rsidR="00AB4C1D" w:rsidRPr="00D658C9" w:rsidRDefault="007051CC" w:rsidP="005904BD">
            <w:pPr>
              <w:rPr>
                <w:rFonts w:ascii="Times New Roman" w:hAnsi="Times New Roman" w:cs="Times New Roman"/>
                <w:sz w:val="20"/>
                <w:szCs w:val="18"/>
              </w:rPr>
            </w:pPr>
            <w:r>
              <w:rPr>
                <w:rFonts w:ascii="Times New Roman" w:hAnsi="Times New Roman" w:cs="Times New Roman"/>
                <w:sz w:val="20"/>
                <w:szCs w:val="18"/>
              </w:rPr>
              <w:t>NA</w:t>
            </w:r>
          </w:p>
        </w:tc>
        <w:tc>
          <w:tcPr>
            <w:tcW w:w="3545" w:type="dxa"/>
          </w:tcPr>
          <w:p w14:paraId="63B03D8C" w14:textId="3C1D3F10" w:rsidR="00AB4C1D" w:rsidRPr="00D658C9" w:rsidRDefault="00AB4C1D" w:rsidP="00FA2744">
            <w:pPr>
              <w:rPr>
                <w:rFonts w:ascii="Times New Roman" w:hAnsi="Times New Roman" w:cs="Times New Roman"/>
                <w:sz w:val="20"/>
                <w:szCs w:val="20"/>
              </w:rPr>
            </w:pPr>
            <w:r>
              <w:rPr>
                <w:rFonts w:ascii="Times New Roman" w:hAnsi="Times New Roman" w:cs="Times New Roman"/>
                <w:sz w:val="20"/>
                <w:szCs w:val="20"/>
              </w:rPr>
              <w:t xml:space="preserve">Access to </w:t>
            </w:r>
            <w:r w:rsidR="00FA2744">
              <w:rPr>
                <w:rFonts w:ascii="Times New Roman" w:hAnsi="Times New Roman" w:cs="Times New Roman"/>
                <w:sz w:val="20"/>
                <w:szCs w:val="20"/>
              </w:rPr>
              <w:t>governance documents</w:t>
            </w:r>
          </w:p>
        </w:tc>
        <w:tc>
          <w:tcPr>
            <w:tcW w:w="1260" w:type="dxa"/>
          </w:tcPr>
          <w:p w14:paraId="7B35FD8C" w14:textId="2C4ABF77" w:rsidR="00AB4C1D" w:rsidRPr="00D658C9" w:rsidRDefault="00737BCA" w:rsidP="005904BD">
            <w:pPr>
              <w:rPr>
                <w:rFonts w:ascii="Times New Roman" w:hAnsi="Times New Roman" w:cs="Times New Roman"/>
                <w:sz w:val="20"/>
                <w:szCs w:val="18"/>
              </w:rPr>
            </w:pPr>
            <w:r>
              <w:rPr>
                <w:rFonts w:ascii="Times New Roman" w:hAnsi="Times New Roman" w:cs="Times New Roman"/>
                <w:sz w:val="20"/>
                <w:szCs w:val="18"/>
              </w:rPr>
              <w:t>Bylaws</w:t>
            </w:r>
          </w:p>
        </w:tc>
        <w:tc>
          <w:tcPr>
            <w:tcW w:w="5768" w:type="dxa"/>
          </w:tcPr>
          <w:p w14:paraId="614CCDF5" w14:textId="43C1880D" w:rsidR="00AB4C1D" w:rsidRPr="00D658C9" w:rsidRDefault="007051CC" w:rsidP="005904BD">
            <w:pPr>
              <w:rPr>
                <w:rFonts w:ascii="Times New Roman" w:hAnsi="Times New Roman" w:cs="Times New Roman"/>
                <w:sz w:val="20"/>
                <w:szCs w:val="20"/>
              </w:rPr>
            </w:pPr>
            <w:r>
              <w:rPr>
                <w:rFonts w:ascii="Times New Roman" w:hAnsi="Times New Roman" w:cs="Times New Roman"/>
                <w:sz w:val="20"/>
                <w:szCs w:val="20"/>
              </w:rPr>
              <w:t>Language specifies where governance documents are housed and how they can be accessed.</w:t>
            </w:r>
          </w:p>
        </w:tc>
        <w:tc>
          <w:tcPr>
            <w:tcW w:w="3887" w:type="dxa"/>
            <w:shd w:val="clear" w:color="auto" w:fill="FF99FF"/>
          </w:tcPr>
          <w:p w14:paraId="767983D2" w14:textId="5216A9D2" w:rsidR="00AB4C1D" w:rsidRDefault="00AB4C1D" w:rsidP="005904BD">
            <w:pPr>
              <w:rPr>
                <w:rFonts w:ascii="Times New Roman" w:hAnsi="Times New Roman" w:cs="Times New Roman"/>
                <w:sz w:val="20"/>
                <w:szCs w:val="18"/>
              </w:rPr>
            </w:pPr>
            <w:r>
              <w:rPr>
                <w:rFonts w:ascii="Times New Roman" w:hAnsi="Times New Roman" w:cs="Times New Roman"/>
                <w:sz w:val="20"/>
                <w:szCs w:val="18"/>
              </w:rPr>
              <w:t>Add:</w:t>
            </w:r>
          </w:p>
          <w:p w14:paraId="728D33E2" w14:textId="77777777" w:rsidR="007051CC" w:rsidRDefault="007051CC" w:rsidP="00C00E62">
            <w:pPr>
              <w:rPr>
                <w:rFonts w:ascii="Times New Roman" w:hAnsi="Times New Roman" w:cs="Times New Roman"/>
                <w:sz w:val="20"/>
                <w:szCs w:val="18"/>
              </w:rPr>
            </w:pPr>
          </w:p>
          <w:p w14:paraId="1C18A5FF" w14:textId="77777777" w:rsidR="00AB4C1D" w:rsidRPr="00FA2744" w:rsidRDefault="00AB4C1D" w:rsidP="00C00E62">
            <w:pPr>
              <w:rPr>
                <w:rFonts w:ascii="Times New Roman" w:hAnsi="Times New Roman" w:cs="Times New Roman"/>
                <w:sz w:val="20"/>
                <w:szCs w:val="18"/>
              </w:rPr>
            </w:pPr>
            <w:r w:rsidRPr="00FA2744">
              <w:rPr>
                <w:rFonts w:ascii="Times New Roman" w:hAnsi="Times New Roman" w:cs="Times New Roman"/>
                <w:sz w:val="20"/>
                <w:szCs w:val="18"/>
              </w:rPr>
              <w:t>“</w:t>
            </w:r>
            <w:r w:rsidRPr="00FA2744">
              <w:rPr>
                <w:rFonts w:ascii="Times New Roman" w:hAnsi="Times New Roman" w:cs="Times New Roman"/>
                <w:b/>
                <w:sz w:val="20"/>
                <w:szCs w:val="18"/>
                <w:u w:val="single"/>
              </w:rPr>
              <w:t>Access to Governance Documents</w:t>
            </w:r>
            <w:r w:rsidRPr="00FA2744">
              <w:rPr>
                <w:rFonts w:ascii="Times New Roman" w:hAnsi="Times New Roman" w:cs="Times New Roman"/>
                <w:sz w:val="20"/>
                <w:szCs w:val="18"/>
              </w:rPr>
              <w:t>:</w:t>
            </w:r>
          </w:p>
          <w:p w14:paraId="645F67B0" w14:textId="6EF680EC" w:rsidR="00AB4C1D" w:rsidRPr="00D658C9" w:rsidRDefault="00AB4C1D" w:rsidP="00C00E62">
            <w:pPr>
              <w:rPr>
                <w:rFonts w:ascii="Times New Roman" w:hAnsi="Times New Roman" w:cs="Times New Roman"/>
                <w:sz w:val="20"/>
                <w:szCs w:val="18"/>
              </w:rPr>
            </w:pPr>
            <w:r w:rsidRPr="00FA2744">
              <w:rPr>
                <w:rFonts w:ascii="Times New Roman" w:hAnsi="Times New Roman" w:cs="Times New Roman"/>
                <w:sz w:val="20"/>
                <w:szCs w:val="18"/>
              </w:rPr>
              <w:t>All governance documents for the academic unit shall be posted on the academic unit’s website.”</w:t>
            </w:r>
          </w:p>
        </w:tc>
      </w:tr>
      <w:tr w:rsidR="00FA2744" w14:paraId="710C67DF" w14:textId="77777777" w:rsidTr="00FA2744">
        <w:trPr>
          <w:trHeight w:val="5770"/>
        </w:trPr>
        <w:tc>
          <w:tcPr>
            <w:tcW w:w="1828" w:type="dxa"/>
          </w:tcPr>
          <w:p w14:paraId="2022E7E6" w14:textId="77777777" w:rsidR="00FA2744" w:rsidRDefault="00FA2744" w:rsidP="005904BD">
            <w:pPr>
              <w:rPr>
                <w:rFonts w:ascii="Times New Roman" w:hAnsi="Times New Roman" w:cs="Times New Roman"/>
                <w:sz w:val="20"/>
                <w:szCs w:val="18"/>
              </w:rPr>
            </w:pPr>
            <w:r w:rsidRPr="00D658C9">
              <w:rPr>
                <w:rFonts w:ascii="Times New Roman" w:hAnsi="Times New Roman" w:cs="Times New Roman"/>
                <w:sz w:val="20"/>
                <w:szCs w:val="18"/>
              </w:rPr>
              <w:t>ORS 243.698</w:t>
            </w:r>
          </w:p>
          <w:p w14:paraId="76271C06" w14:textId="77777777" w:rsidR="00FA2744" w:rsidRDefault="00FA2744" w:rsidP="005904BD">
            <w:pPr>
              <w:rPr>
                <w:rFonts w:ascii="Times New Roman" w:hAnsi="Times New Roman" w:cs="Times New Roman"/>
                <w:sz w:val="20"/>
                <w:szCs w:val="18"/>
              </w:rPr>
            </w:pPr>
          </w:p>
          <w:p w14:paraId="556AF83B" w14:textId="77777777" w:rsidR="00FA2744" w:rsidRDefault="00FA2744" w:rsidP="005904BD">
            <w:pPr>
              <w:rPr>
                <w:rFonts w:ascii="Times New Roman" w:hAnsi="Times New Roman" w:cs="Times New Roman"/>
                <w:sz w:val="20"/>
                <w:szCs w:val="18"/>
              </w:rPr>
            </w:pPr>
          </w:p>
          <w:p w14:paraId="03C1D890" w14:textId="77777777" w:rsidR="00FA2744" w:rsidRDefault="00FA2744" w:rsidP="005904BD">
            <w:pPr>
              <w:rPr>
                <w:rFonts w:ascii="Times New Roman" w:hAnsi="Times New Roman" w:cs="Times New Roman"/>
                <w:sz w:val="20"/>
                <w:szCs w:val="18"/>
              </w:rPr>
            </w:pPr>
          </w:p>
          <w:p w14:paraId="3E9DB9B8" w14:textId="77777777" w:rsidR="00FA2744" w:rsidRDefault="00FA2744" w:rsidP="005904BD">
            <w:pPr>
              <w:rPr>
                <w:rFonts w:ascii="Times New Roman" w:hAnsi="Times New Roman" w:cs="Times New Roman"/>
                <w:sz w:val="20"/>
                <w:szCs w:val="18"/>
              </w:rPr>
            </w:pPr>
          </w:p>
          <w:p w14:paraId="43EAA488" w14:textId="77777777" w:rsidR="00FA2744" w:rsidRDefault="00FA2744" w:rsidP="005904BD">
            <w:pPr>
              <w:rPr>
                <w:rFonts w:ascii="Times New Roman" w:hAnsi="Times New Roman" w:cs="Times New Roman"/>
                <w:sz w:val="20"/>
                <w:szCs w:val="18"/>
              </w:rPr>
            </w:pPr>
          </w:p>
          <w:p w14:paraId="1BB6C356" w14:textId="77777777" w:rsidR="00FA2744" w:rsidRDefault="00FA2744" w:rsidP="005904BD">
            <w:pPr>
              <w:rPr>
                <w:rFonts w:ascii="Times New Roman" w:hAnsi="Times New Roman" w:cs="Times New Roman"/>
                <w:sz w:val="20"/>
                <w:szCs w:val="18"/>
              </w:rPr>
            </w:pPr>
          </w:p>
          <w:p w14:paraId="4D706A1F" w14:textId="77777777" w:rsidR="00FA2744" w:rsidRDefault="00FA2744" w:rsidP="005904BD">
            <w:pPr>
              <w:rPr>
                <w:rFonts w:ascii="Times New Roman" w:hAnsi="Times New Roman" w:cs="Times New Roman"/>
                <w:sz w:val="20"/>
                <w:szCs w:val="18"/>
              </w:rPr>
            </w:pPr>
          </w:p>
          <w:p w14:paraId="6CA403B9" w14:textId="77777777" w:rsidR="00FA2744" w:rsidRDefault="00FA2744" w:rsidP="005904BD">
            <w:pPr>
              <w:rPr>
                <w:rFonts w:ascii="Times New Roman" w:hAnsi="Times New Roman" w:cs="Times New Roman"/>
                <w:sz w:val="20"/>
                <w:szCs w:val="18"/>
              </w:rPr>
            </w:pPr>
          </w:p>
          <w:p w14:paraId="6B2FAF97" w14:textId="77777777" w:rsidR="00FA2744" w:rsidRDefault="00FA2744" w:rsidP="005904BD">
            <w:pPr>
              <w:rPr>
                <w:rFonts w:ascii="Times New Roman" w:hAnsi="Times New Roman" w:cs="Times New Roman"/>
                <w:sz w:val="20"/>
                <w:szCs w:val="18"/>
              </w:rPr>
            </w:pPr>
          </w:p>
          <w:p w14:paraId="1F70168A" w14:textId="77777777" w:rsidR="00FA2744" w:rsidRDefault="00FA2744" w:rsidP="005904BD">
            <w:pPr>
              <w:rPr>
                <w:rFonts w:ascii="Times New Roman" w:hAnsi="Times New Roman" w:cs="Times New Roman"/>
                <w:sz w:val="20"/>
                <w:szCs w:val="18"/>
              </w:rPr>
            </w:pPr>
          </w:p>
          <w:p w14:paraId="2A1D6827" w14:textId="77777777" w:rsidR="00FA2744" w:rsidRDefault="00FA2744" w:rsidP="005904BD">
            <w:pPr>
              <w:rPr>
                <w:rFonts w:ascii="Times New Roman" w:hAnsi="Times New Roman" w:cs="Times New Roman"/>
                <w:sz w:val="20"/>
                <w:szCs w:val="18"/>
              </w:rPr>
            </w:pPr>
          </w:p>
          <w:p w14:paraId="4531669A" w14:textId="77777777" w:rsidR="00FA2744" w:rsidRDefault="00FA2744" w:rsidP="005904BD">
            <w:pPr>
              <w:rPr>
                <w:rFonts w:ascii="Times New Roman" w:hAnsi="Times New Roman" w:cs="Times New Roman"/>
                <w:sz w:val="20"/>
                <w:szCs w:val="18"/>
              </w:rPr>
            </w:pPr>
          </w:p>
          <w:p w14:paraId="73056DB4" w14:textId="4255D3C3" w:rsidR="00FA2744" w:rsidRPr="00D658C9" w:rsidRDefault="00FA2744" w:rsidP="005904BD">
            <w:pPr>
              <w:rPr>
                <w:rFonts w:ascii="Times New Roman" w:hAnsi="Times New Roman" w:cs="Times New Roman"/>
                <w:sz w:val="20"/>
                <w:szCs w:val="18"/>
              </w:rPr>
            </w:pPr>
            <w:r w:rsidRPr="00D658C9">
              <w:rPr>
                <w:rFonts w:ascii="Times New Roman" w:hAnsi="Times New Roman" w:cs="Times New Roman"/>
                <w:sz w:val="20"/>
                <w:szCs w:val="18"/>
              </w:rPr>
              <w:t>Past Practices</w:t>
            </w:r>
          </w:p>
        </w:tc>
        <w:tc>
          <w:tcPr>
            <w:tcW w:w="939" w:type="dxa"/>
          </w:tcPr>
          <w:p w14:paraId="1E7B0C4E" w14:textId="77777777" w:rsidR="00FA2744" w:rsidRDefault="00FA2744" w:rsidP="005904BD">
            <w:pPr>
              <w:rPr>
                <w:rFonts w:ascii="Times New Roman" w:hAnsi="Times New Roman" w:cs="Times New Roman"/>
                <w:sz w:val="20"/>
                <w:szCs w:val="18"/>
              </w:rPr>
            </w:pPr>
            <w:r w:rsidRPr="00D658C9">
              <w:rPr>
                <w:rFonts w:ascii="Times New Roman" w:hAnsi="Times New Roman" w:cs="Times New Roman"/>
                <w:sz w:val="20"/>
                <w:szCs w:val="18"/>
              </w:rPr>
              <w:t>NA</w:t>
            </w:r>
          </w:p>
          <w:p w14:paraId="7193CF78" w14:textId="77777777" w:rsidR="00FA2744" w:rsidRDefault="00FA2744" w:rsidP="005904BD">
            <w:pPr>
              <w:rPr>
                <w:rFonts w:ascii="Times New Roman" w:hAnsi="Times New Roman" w:cs="Times New Roman"/>
                <w:sz w:val="20"/>
                <w:szCs w:val="18"/>
              </w:rPr>
            </w:pPr>
          </w:p>
          <w:p w14:paraId="4E8B2534" w14:textId="77777777" w:rsidR="00FA2744" w:rsidRDefault="00FA2744" w:rsidP="005904BD">
            <w:pPr>
              <w:rPr>
                <w:rFonts w:ascii="Times New Roman" w:hAnsi="Times New Roman" w:cs="Times New Roman"/>
                <w:sz w:val="20"/>
                <w:szCs w:val="18"/>
              </w:rPr>
            </w:pPr>
          </w:p>
          <w:p w14:paraId="4B1F2A69" w14:textId="77777777" w:rsidR="00FA2744" w:rsidRDefault="00FA2744" w:rsidP="005904BD">
            <w:pPr>
              <w:rPr>
                <w:rFonts w:ascii="Times New Roman" w:hAnsi="Times New Roman" w:cs="Times New Roman"/>
                <w:sz w:val="20"/>
                <w:szCs w:val="18"/>
              </w:rPr>
            </w:pPr>
          </w:p>
          <w:p w14:paraId="05AAD4EA" w14:textId="77777777" w:rsidR="00FA2744" w:rsidRDefault="00FA2744" w:rsidP="005904BD">
            <w:pPr>
              <w:rPr>
                <w:rFonts w:ascii="Times New Roman" w:hAnsi="Times New Roman" w:cs="Times New Roman"/>
                <w:sz w:val="20"/>
                <w:szCs w:val="18"/>
              </w:rPr>
            </w:pPr>
          </w:p>
          <w:p w14:paraId="05B6D586" w14:textId="77777777" w:rsidR="00FA2744" w:rsidRDefault="00FA2744" w:rsidP="005904BD">
            <w:pPr>
              <w:rPr>
                <w:rFonts w:ascii="Times New Roman" w:hAnsi="Times New Roman" w:cs="Times New Roman"/>
                <w:sz w:val="20"/>
                <w:szCs w:val="18"/>
              </w:rPr>
            </w:pPr>
          </w:p>
          <w:p w14:paraId="522A3837" w14:textId="77777777" w:rsidR="00FA2744" w:rsidRDefault="00FA2744" w:rsidP="005904BD">
            <w:pPr>
              <w:rPr>
                <w:rFonts w:ascii="Times New Roman" w:hAnsi="Times New Roman" w:cs="Times New Roman"/>
                <w:sz w:val="20"/>
                <w:szCs w:val="18"/>
              </w:rPr>
            </w:pPr>
          </w:p>
          <w:p w14:paraId="38BB7B36" w14:textId="77777777" w:rsidR="00FA2744" w:rsidRDefault="00FA2744" w:rsidP="005904BD">
            <w:pPr>
              <w:rPr>
                <w:rFonts w:ascii="Times New Roman" w:hAnsi="Times New Roman" w:cs="Times New Roman"/>
                <w:sz w:val="20"/>
                <w:szCs w:val="18"/>
              </w:rPr>
            </w:pPr>
          </w:p>
          <w:p w14:paraId="0B72894F" w14:textId="77777777" w:rsidR="00FA2744" w:rsidRDefault="00FA2744" w:rsidP="005904BD">
            <w:pPr>
              <w:rPr>
                <w:rFonts w:ascii="Times New Roman" w:hAnsi="Times New Roman" w:cs="Times New Roman"/>
                <w:sz w:val="20"/>
                <w:szCs w:val="18"/>
              </w:rPr>
            </w:pPr>
          </w:p>
          <w:p w14:paraId="440A4223" w14:textId="77777777" w:rsidR="00FA2744" w:rsidRDefault="00FA2744" w:rsidP="005904BD">
            <w:pPr>
              <w:rPr>
                <w:rFonts w:ascii="Times New Roman" w:hAnsi="Times New Roman" w:cs="Times New Roman"/>
                <w:sz w:val="20"/>
                <w:szCs w:val="18"/>
              </w:rPr>
            </w:pPr>
          </w:p>
          <w:p w14:paraId="58981985" w14:textId="77777777" w:rsidR="00FA2744" w:rsidRDefault="00FA2744" w:rsidP="005904BD">
            <w:pPr>
              <w:rPr>
                <w:rFonts w:ascii="Times New Roman" w:hAnsi="Times New Roman" w:cs="Times New Roman"/>
                <w:sz w:val="20"/>
                <w:szCs w:val="18"/>
              </w:rPr>
            </w:pPr>
          </w:p>
          <w:p w14:paraId="5E17F73B" w14:textId="77777777" w:rsidR="00FA2744" w:rsidRDefault="00FA2744" w:rsidP="005904BD">
            <w:pPr>
              <w:rPr>
                <w:rFonts w:ascii="Times New Roman" w:hAnsi="Times New Roman" w:cs="Times New Roman"/>
                <w:sz w:val="20"/>
                <w:szCs w:val="18"/>
              </w:rPr>
            </w:pPr>
          </w:p>
          <w:p w14:paraId="58746C32" w14:textId="77777777" w:rsidR="00FA2744" w:rsidRDefault="00FA2744" w:rsidP="005904BD">
            <w:pPr>
              <w:rPr>
                <w:rFonts w:ascii="Times New Roman" w:hAnsi="Times New Roman" w:cs="Times New Roman"/>
                <w:sz w:val="20"/>
                <w:szCs w:val="18"/>
              </w:rPr>
            </w:pPr>
          </w:p>
          <w:p w14:paraId="324E8E06" w14:textId="0567AB3C" w:rsidR="00FA2744" w:rsidRPr="00D658C9" w:rsidRDefault="00FA2744" w:rsidP="005904BD">
            <w:pPr>
              <w:rPr>
                <w:rFonts w:ascii="Times New Roman" w:hAnsi="Times New Roman" w:cs="Times New Roman"/>
                <w:sz w:val="20"/>
                <w:szCs w:val="18"/>
              </w:rPr>
            </w:pPr>
            <w:r>
              <w:rPr>
                <w:rFonts w:ascii="Times New Roman" w:hAnsi="Times New Roman" w:cs="Times New Roman"/>
                <w:sz w:val="20"/>
                <w:szCs w:val="18"/>
              </w:rPr>
              <w:t>8.1</w:t>
            </w:r>
          </w:p>
        </w:tc>
        <w:tc>
          <w:tcPr>
            <w:tcW w:w="528" w:type="dxa"/>
          </w:tcPr>
          <w:p w14:paraId="62BA24D1" w14:textId="77777777" w:rsidR="00FA2744" w:rsidRDefault="00FA2744" w:rsidP="005904BD">
            <w:pPr>
              <w:rPr>
                <w:rFonts w:ascii="Times New Roman" w:hAnsi="Times New Roman" w:cs="Times New Roman"/>
                <w:sz w:val="20"/>
                <w:szCs w:val="18"/>
              </w:rPr>
            </w:pPr>
            <w:r w:rsidRPr="00D658C9">
              <w:rPr>
                <w:rFonts w:ascii="Times New Roman" w:hAnsi="Times New Roman" w:cs="Times New Roman"/>
                <w:sz w:val="20"/>
                <w:szCs w:val="18"/>
              </w:rPr>
              <w:t>NA</w:t>
            </w:r>
          </w:p>
          <w:p w14:paraId="1A234C6E" w14:textId="77777777" w:rsidR="00FA2744" w:rsidRDefault="00FA2744" w:rsidP="005904BD">
            <w:pPr>
              <w:rPr>
                <w:rFonts w:ascii="Times New Roman" w:hAnsi="Times New Roman" w:cs="Times New Roman"/>
                <w:sz w:val="20"/>
                <w:szCs w:val="18"/>
              </w:rPr>
            </w:pPr>
          </w:p>
          <w:p w14:paraId="5737DE05" w14:textId="77777777" w:rsidR="00FA2744" w:rsidRDefault="00FA2744" w:rsidP="005904BD">
            <w:pPr>
              <w:rPr>
                <w:rFonts w:ascii="Times New Roman" w:hAnsi="Times New Roman" w:cs="Times New Roman"/>
                <w:sz w:val="20"/>
                <w:szCs w:val="18"/>
              </w:rPr>
            </w:pPr>
          </w:p>
          <w:p w14:paraId="154D394A" w14:textId="77777777" w:rsidR="00FA2744" w:rsidRDefault="00FA2744" w:rsidP="005904BD">
            <w:pPr>
              <w:rPr>
                <w:rFonts w:ascii="Times New Roman" w:hAnsi="Times New Roman" w:cs="Times New Roman"/>
                <w:sz w:val="20"/>
                <w:szCs w:val="18"/>
              </w:rPr>
            </w:pPr>
          </w:p>
          <w:p w14:paraId="4E9B8CB2" w14:textId="77777777" w:rsidR="00FA2744" w:rsidRDefault="00FA2744" w:rsidP="005904BD">
            <w:pPr>
              <w:rPr>
                <w:rFonts w:ascii="Times New Roman" w:hAnsi="Times New Roman" w:cs="Times New Roman"/>
                <w:sz w:val="20"/>
                <w:szCs w:val="18"/>
              </w:rPr>
            </w:pPr>
          </w:p>
          <w:p w14:paraId="40716713" w14:textId="77777777" w:rsidR="00FA2744" w:rsidRDefault="00FA2744" w:rsidP="005904BD">
            <w:pPr>
              <w:rPr>
                <w:rFonts w:ascii="Times New Roman" w:hAnsi="Times New Roman" w:cs="Times New Roman"/>
                <w:sz w:val="20"/>
                <w:szCs w:val="18"/>
              </w:rPr>
            </w:pPr>
          </w:p>
          <w:p w14:paraId="598C18A5" w14:textId="77777777" w:rsidR="00FA2744" w:rsidRDefault="00FA2744" w:rsidP="005904BD">
            <w:pPr>
              <w:rPr>
                <w:rFonts w:ascii="Times New Roman" w:hAnsi="Times New Roman" w:cs="Times New Roman"/>
                <w:sz w:val="20"/>
                <w:szCs w:val="18"/>
              </w:rPr>
            </w:pPr>
          </w:p>
          <w:p w14:paraId="6E9A5C7D" w14:textId="77777777" w:rsidR="00FA2744" w:rsidRDefault="00FA2744" w:rsidP="005904BD">
            <w:pPr>
              <w:rPr>
                <w:rFonts w:ascii="Times New Roman" w:hAnsi="Times New Roman" w:cs="Times New Roman"/>
                <w:sz w:val="20"/>
                <w:szCs w:val="18"/>
              </w:rPr>
            </w:pPr>
          </w:p>
          <w:p w14:paraId="32DB0C7D" w14:textId="77777777" w:rsidR="00FA2744" w:rsidRDefault="00FA2744" w:rsidP="005904BD">
            <w:pPr>
              <w:rPr>
                <w:rFonts w:ascii="Times New Roman" w:hAnsi="Times New Roman" w:cs="Times New Roman"/>
                <w:sz w:val="20"/>
                <w:szCs w:val="18"/>
              </w:rPr>
            </w:pPr>
          </w:p>
          <w:p w14:paraId="187AF29A" w14:textId="77777777" w:rsidR="00FA2744" w:rsidRDefault="00FA2744" w:rsidP="005904BD">
            <w:pPr>
              <w:rPr>
                <w:rFonts w:ascii="Times New Roman" w:hAnsi="Times New Roman" w:cs="Times New Roman"/>
                <w:sz w:val="20"/>
                <w:szCs w:val="18"/>
              </w:rPr>
            </w:pPr>
          </w:p>
          <w:p w14:paraId="3FB9B398" w14:textId="77777777" w:rsidR="00FA2744" w:rsidRDefault="00FA2744" w:rsidP="005904BD">
            <w:pPr>
              <w:rPr>
                <w:rFonts w:ascii="Times New Roman" w:hAnsi="Times New Roman" w:cs="Times New Roman"/>
                <w:sz w:val="20"/>
                <w:szCs w:val="18"/>
              </w:rPr>
            </w:pPr>
          </w:p>
          <w:p w14:paraId="522BAA28" w14:textId="77777777" w:rsidR="00FA2744" w:rsidRDefault="00FA2744" w:rsidP="005904BD">
            <w:pPr>
              <w:rPr>
                <w:rFonts w:ascii="Times New Roman" w:hAnsi="Times New Roman" w:cs="Times New Roman"/>
                <w:sz w:val="20"/>
                <w:szCs w:val="18"/>
              </w:rPr>
            </w:pPr>
          </w:p>
          <w:p w14:paraId="702B957F" w14:textId="77777777" w:rsidR="00FA2744" w:rsidRDefault="00FA2744" w:rsidP="005904BD">
            <w:pPr>
              <w:rPr>
                <w:rFonts w:ascii="Times New Roman" w:hAnsi="Times New Roman" w:cs="Times New Roman"/>
                <w:sz w:val="20"/>
                <w:szCs w:val="18"/>
              </w:rPr>
            </w:pPr>
          </w:p>
          <w:p w14:paraId="0AAB4AEF" w14:textId="53132897" w:rsidR="00FA2744" w:rsidRPr="00D658C9" w:rsidRDefault="00FA2744" w:rsidP="005904BD">
            <w:pPr>
              <w:rPr>
                <w:rFonts w:ascii="Times New Roman" w:hAnsi="Times New Roman" w:cs="Times New Roman"/>
                <w:sz w:val="20"/>
                <w:szCs w:val="18"/>
              </w:rPr>
            </w:pPr>
            <w:r>
              <w:rPr>
                <w:rFonts w:ascii="Times New Roman" w:hAnsi="Times New Roman" w:cs="Times New Roman"/>
                <w:sz w:val="20"/>
                <w:szCs w:val="18"/>
              </w:rPr>
              <w:t>10</w:t>
            </w:r>
          </w:p>
        </w:tc>
        <w:tc>
          <w:tcPr>
            <w:tcW w:w="3545" w:type="dxa"/>
          </w:tcPr>
          <w:p w14:paraId="3E88B9AB" w14:textId="77777777" w:rsidR="00FA2744" w:rsidRDefault="00FA2744" w:rsidP="005904BD">
            <w:pPr>
              <w:rPr>
                <w:rFonts w:ascii="Times New Roman" w:hAnsi="Times New Roman" w:cs="Times New Roman"/>
                <w:sz w:val="20"/>
                <w:szCs w:val="20"/>
              </w:rPr>
            </w:pPr>
            <w:r w:rsidRPr="00D658C9">
              <w:rPr>
                <w:rFonts w:ascii="Times New Roman" w:hAnsi="Times New Roman" w:cs="Times New Roman"/>
                <w:sz w:val="20"/>
                <w:szCs w:val="20"/>
              </w:rPr>
              <w:t>PSU is required to notice and give AAUP an opportunity to bargain about any new policy, rule, procedure or working condition that falls within the mandatory scope of bargaining (as defined by ORS 243.650 et seq). The notice should be provided to AAUP 4 months in advance so that there is time to bargain through the 90 day statutory bargaining period if AAUP submits a Demand to Bargain.</w:t>
            </w:r>
          </w:p>
          <w:p w14:paraId="1E47B675" w14:textId="77777777" w:rsidR="00FA2744" w:rsidRDefault="00FA2744" w:rsidP="005904BD">
            <w:pPr>
              <w:rPr>
                <w:rFonts w:ascii="Times New Roman" w:hAnsi="Times New Roman" w:cs="Times New Roman"/>
                <w:sz w:val="20"/>
                <w:szCs w:val="20"/>
              </w:rPr>
            </w:pPr>
          </w:p>
          <w:p w14:paraId="402F581B" w14:textId="77777777" w:rsidR="00FA2744" w:rsidRDefault="00FA2744" w:rsidP="005904BD">
            <w:pPr>
              <w:rPr>
                <w:rFonts w:ascii="Times New Roman" w:hAnsi="Times New Roman" w:cs="Times New Roman"/>
                <w:sz w:val="20"/>
                <w:szCs w:val="20"/>
              </w:rPr>
            </w:pPr>
          </w:p>
          <w:p w14:paraId="686662A0" w14:textId="7353E716" w:rsidR="00FA2744" w:rsidRPr="00D658C9" w:rsidRDefault="00FA2744" w:rsidP="005904BD">
            <w:pPr>
              <w:rPr>
                <w:rFonts w:ascii="Times New Roman" w:hAnsi="Times New Roman" w:cs="Times New Roman"/>
                <w:sz w:val="20"/>
                <w:szCs w:val="20"/>
              </w:rPr>
            </w:pPr>
            <w:r w:rsidRPr="00D658C9">
              <w:rPr>
                <w:rFonts w:ascii="Times New Roman" w:hAnsi="Times New Roman" w:cs="Times New Roman"/>
                <w:sz w:val="20"/>
                <w:szCs w:val="20"/>
              </w:rPr>
              <w:t>All well-established past practices concerning terms and conditions of employment are to be maintained unless modified by the consent of AAUP and OAA.</w:t>
            </w:r>
          </w:p>
        </w:tc>
        <w:tc>
          <w:tcPr>
            <w:tcW w:w="1260" w:type="dxa"/>
          </w:tcPr>
          <w:p w14:paraId="3AE28FFB" w14:textId="77777777" w:rsidR="00FA2744" w:rsidRPr="00D658C9" w:rsidRDefault="00FA2744" w:rsidP="005904BD">
            <w:pPr>
              <w:rPr>
                <w:rFonts w:ascii="Times New Roman" w:hAnsi="Times New Roman" w:cs="Times New Roman"/>
                <w:sz w:val="20"/>
                <w:szCs w:val="18"/>
              </w:rPr>
            </w:pPr>
            <w:r w:rsidRPr="00D658C9">
              <w:rPr>
                <w:rFonts w:ascii="Times New Roman" w:hAnsi="Times New Roman" w:cs="Times New Roman"/>
                <w:sz w:val="20"/>
                <w:szCs w:val="18"/>
              </w:rPr>
              <w:t>Bylaws</w:t>
            </w:r>
          </w:p>
        </w:tc>
        <w:tc>
          <w:tcPr>
            <w:tcW w:w="5768" w:type="dxa"/>
          </w:tcPr>
          <w:p w14:paraId="3E076412" w14:textId="77777777" w:rsidR="00FA2744" w:rsidRDefault="00FA2744" w:rsidP="005904BD">
            <w:pPr>
              <w:rPr>
                <w:rFonts w:ascii="Times New Roman" w:hAnsi="Times New Roman" w:cs="Times New Roman"/>
                <w:sz w:val="20"/>
                <w:szCs w:val="20"/>
              </w:rPr>
            </w:pPr>
            <w:r w:rsidRPr="00D658C9">
              <w:rPr>
                <w:rFonts w:ascii="Times New Roman" w:hAnsi="Times New Roman" w:cs="Times New Roman"/>
                <w:sz w:val="20"/>
                <w:szCs w:val="20"/>
              </w:rPr>
              <w:t>Language that states PSU is responsible for complying with the notice and collective bargaining requirements of ORS 243.698, and that units must notify OAA 4 months in advance of the intent to create or adopt any new policy, procedure, and/or working condition that falls within AAUP's mandatory scope of bargaining (wages, hours, and conditions of employment as per ORS 243.650 et seq</w:t>
            </w:r>
            <w:r>
              <w:rPr>
                <w:rFonts w:ascii="Times New Roman" w:hAnsi="Times New Roman" w:cs="Times New Roman"/>
                <w:sz w:val="20"/>
                <w:szCs w:val="20"/>
              </w:rPr>
              <w:t>.) where the CBA is silent.</w:t>
            </w:r>
          </w:p>
          <w:p w14:paraId="00FD1401" w14:textId="77777777" w:rsidR="00FA2744" w:rsidRDefault="00FA2744" w:rsidP="005904BD">
            <w:pPr>
              <w:rPr>
                <w:rFonts w:ascii="Times New Roman" w:hAnsi="Times New Roman" w:cs="Times New Roman"/>
                <w:sz w:val="20"/>
                <w:szCs w:val="20"/>
              </w:rPr>
            </w:pPr>
          </w:p>
          <w:p w14:paraId="07F51740" w14:textId="77777777" w:rsidR="00FA2744" w:rsidRDefault="00FA2744" w:rsidP="005904BD">
            <w:pPr>
              <w:rPr>
                <w:rFonts w:ascii="Times New Roman" w:hAnsi="Times New Roman" w:cs="Times New Roman"/>
                <w:sz w:val="20"/>
                <w:szCs w:val="20"/>
              </w:rPr>
            </w:pPr>
          </w:p>
          <w:p w14:paraId="60899E28" w14:textId="77777777" w:rsidR="00FA2744" w:rsidRDefault="00FA2744" w:rsidP="005904BD">
            <w:pPr>
              <w:rPr>
                <w:rFonts w:ascii="Times New Roman" w:hAnsi="Times New Roman" w:cs="Times New Roman"/>
                <w:sz w:val="20"/>
                <w:szCs w:val="20"/>
              </w:rPr>
            </w:pPr>
          </w:p>
          <w:p w14:paraId="1A855ACF" w14:textId="77777777" w:rsidR="00FA2744" w:rsidRDefault="00FA2744" w:rsidP="005904BD">
            <w:pPr>
              <w:rPr>
                <w:rFonts w:ascii="Times New Roman" w:hAnsi="Times New Roman" w:cs="Times New Roman"/>
                <w:sz w:val="20"/>
                <w:szCs w:val="20"/>
              </w:rPr>
            </w:pPr>
          </w:p>
          <w:p w14:paraId="08F97325" w14:textId="77777777" w:rsidR="00FA2744" w:rsidRDefault="00FA2744" w:rsidP="005904BD">
            <w:pPr>
              <w:rPr>
                <w:rFonts w:ascii="Times New Roman" w:hAnsi="Times New Roman" w:cs="Times New Roman"/>
                <w:sz w:val="20"/>
                <w:szCs w:val="20"/>
              </w:rPr>
            </w:pPr>
          </w:p>
          <w:p w14:paraId="64C311E7" w14:textId="77777777" w:rsidR="00FA2744" w:rsidRDefault="00FA2744" w:rsidP="005904BD">
            <w:pPr>
              <w:rPr>
                <w:rFonts w:ascii="Times New Roman" w:hAnsi="Times New Roman" w:cs="Times New Roman"/>
                <w:sz w:val="20"/>
                <w:szCs w:val="20"/>
              </w:rPr>
            </w:pPr>
          </w:p>
          <w:p w14:paraId="20BA73B1" w14:textId="2A92C55A" w:rsidR="00FA2744" w:rsidRPr="00D658C9" w:rsidRDefault="00FA2744" w:rsidP="005904BD">
            <w:pPr>
              <w:rPr>
                <w:rFonts w:ascii="Times New Roman" w:hAnsi="Times New Roman" w:cs="Times New Roman"/>
                <w:sz w:val="20"/>
                <w:szCs w:val="20"/>
              </w:rPr>
            </w:pPr>
            <w:r w:rsidRPr="00D658C9">
              <w:rPr>
                <w:rFonts w:ascii="Times New Roman" w:hAnsi="Times New Roman" w:cs="Times New Roman"/>
                <w:sz w:val="20"/>
                <w:szCs w:val="20"/>
              </w:rPr>
              <w:t>Language that states that the modification of any unit's policies or procedures that fall within AAUP's scope of bargaining require notification to and approval by OAA. Notice of the intent to modify a policy or procedure should be noticed to OAA while the rule is in the draft stage, prior to adoption by the faculty.</w:t>
            </w:r>
          </w:p>
        </w:tc>
        <w:tc>
          <w:tcPr>
            <w:tcW w:w="3887" w:type="dxa"/>
            <w:shd w:val="clear" w:color="auto" w:fill="FF99FF"/>
          </w:tcPr>
          <w:p w14:paraId="013978CF" w14:textId="77777777" w:rsidR="00FA2744" w:rsidRDefault="00FA2744" w:rsidP="005904BD">
            <w:pPr>
              <w:rPr>
                <w:rFonts w:ascii="Times New Roman" w:hAnsi="Times New Roman" w:cs="Times New Roman"/>
                <w:b/>
                <w:bCs/>
                <w:sz w:val="20"/>
                <w:szCs w:val="18"/>
              </w:rPr>
            </w:pPr>
            <w:r>
              <w:rPr>
                <w:rFonts w:ascii="Times New Roman" w:hAnsi="Times New Roman" w:cs="Times New Roman"/>
                <w:sz w:val="20"/>
                <w:szCs w:val="18"/>
              </w:rPr>
              <w:t>A</w:t>
            </w:r>
            <w:r w:rsidRPr="00D658C9">
              <w:rPr>
                <w:rFonts w:ascii="Times New Roman" w:hAnsi="Times New Roman" w:cs="Times New Roman"/>
                <w:sz w:val="20"/>
                <w:szCs w:val="18"/>
              </w:rPr>
              <w:t xml:space="preserve">dd section </w:t>
            </w:r>
            <w:r>
              <w:rPr>
                <w:rFonts w:ascii="Times New Roman" w:hAnsi="Times New Roman" w:cs="Times New Roman"/>
                <w:sz w:val="20"/>
                <w:szCs w:val="18"/>
              </w:rPr>
              <w:t xml:space="preserve">provided under Article 8, Section 1 below </w:t>
            </w:r>
            <w:r w:rsidRPr="00D658C9">
              <w:rPr>
                <w:rFonts w:ascii="Times New Roman" w:hAnsi="Times New Roman" w:cs="Times New Roman"/>
                <w:sz w:val="20"/>
                <w:szCs w:val="18"/>
              </w:rPr>
              <w:t>in entirety</w:t>
            </w:r>
            <w:r>
              <w:rPr>
                <w:rFonts w:ascii="Times New Roman" w:hAnsi="Times New Roman" w:cs="Times New Roman"/>
                <w:sz w:val="20"/>
                <w:szCs w:val="18"/>
              </w:rPr>
              <w:t xml:space="preserve"> with title as noted here</w:t>
            </w:r>
            <w:r w:rsidRPr="00D658C9">
              <w:rPr>
                <w:rFonts w:ascii="Times New Roman" w:hAnsi="Times New Roman" w:cs="Times New Roman"/>
                <w:sz w:val="20"/>
                <w:szCs w:val="18"/>
              </w:rPr>
              <w:t>:</w:t>
            </w:r>
            <w:r w:rsidRPr="00D658C9">
              <w:rPr>
                <w:rFonts w:ascii="Times New Roman" w:hAnsi="Times New Roman" w:cs="Times New Roman"/>
                <w:b/>
                <w:bCs/>
                <w:sz w:val="20"/>
                <w:szCs w:val="18"/>
              </w:rPr>
              <w:t xml:space="preserve"> </w:t>
            </w:r>
          </w:p>
          <w:p w14:paraId="177264DF" w14:textId="77777777" w:rsidR="00FA2744" w:rsidRPr="00FA2744" w:rsidRDefault="00FA2744" w:rsidP="005904BD">
            <w:pPr>
              <w:rPr>
                <w:rFonts w:ascii="Times New Roman" w:hAnsi="Times New Roman" w:cs="Times New Roman"/>
                <w:bCs/>
                <w:sz w:val="20"/>
                <w:szCs w:val="18"/>
              </w:rPr>
            </w:pPr>
            <w:r w:rsidRPr="00D658C9">
              <w:rPr>
                <w:rFonts w:ascii="Times New Roman" w:hAnsi="Times New Roman" w:cs="Times New Roman"/>
                <w:b/>
                <w:bCs/>
                <w:sz w:val="20"/>
                <w:szCs w:val="18"/>
              </w:rPr>
              <w:br/>
            </w:r>
            <w:r w:rsidRPr="00FA2744">
              <w:rPr>
                <w:rFonts w:ascii="Times New Roman" w:hAnsi="Times New Roman" w:cs="Times New Roman"/>
                <w:bCs/>
                <w:sz w:val="20"/>
                <w:szCs w:val="18"/>
              </w:rPr>
              <w:t>"Amendments and Changes to Departmental Bylaws and Departmental Employment Conditions”</w:t>
            </w:r>
          </w:p>
          <w:p w14:paraId="1A948C7D" w14:textId="77777777" w:rsidR="00FA2744" w:rsidRDefault="00FA2744" w:rsidP="005904BD">
            <w:pPr>
              <w:rPr>
                <w:rFonts w:ascii="Times New Roman" w:hAnsi="Times New Roman" w:cs="Times New Roman"/>
                <w:b/>
                <w:bCs/>
                <w:sz w:val="20"/>
                <w:szCs w:val="18"/>
              </w:rPr>
            </w:pPr>
          </w:p>
          <w:p w14:paraId="4FDE6A35" w14:textId="77777777" w:rsidR="00FA2744" w:rsidRDefault="00FA2744" w:rsidP="005904BD">
            <w:pPr>
              <w:rPr>
                <w:rFonts w:ascii="Times New Roman" w:hAnsi="Times New Roman" w:cs="Times New Roman"/>
                <w:b/>
                <w:bCs/>
                <w:sz w:val="20"/>
                <w:szCs w:val="18"/>
              </w:rPr>
            </w:pPr>
          </w:p>
          <w:p w14:paraId="229D4215" w14:textId="77777777" w:rsidR="00FA2744" w:rsidRDefault="00FA2744" w:rsidP="005904BD">
            <w:pPr>
              <w:rPr>
                <w:rFonts w:ascii="Times New Roman" w:hAnsi="Times New Roman" w:cs="Times New Roman"/>
                <w:b/>
                <w:bCs/>
                <w:sz w:val="20"/>
                <w:szCs w:val="18"/>
              </w:rPr>
            </w:pPr>
          </w:p>
          <w:p w14:paraId="05FCD668" w14:textId="77777777" w:rsidR="00FA2744" w:rsidRDefault="00FA2744" w:rsidP="005904BD">
            <w:pPr>
              <w:rPr>
                <w:rFonts w:ascii="Times New Roman" w:hAnsi="Times New Roman" w:cs="Times New Roman"/>
                <w:b/>
                <w:bCs/>
                <w:sz w:val="20"/>
                <w:szCs w:val="18"/>
              </w:rPr>
            </w:pPr>
          </w:p>
          <w:p w14:paraId="4FB9FECA" w14:textId="77777777" w:rsidR="00FA2744" w:rsidRDefault="00FA2744" w:rsidP="005904BD">
            <w:pPr>
              <w:rPr>
                <w:rFonts w:ascii="Times New Roman" w:hAnsi="Times New Roman" w:cs="Times New Roman"/>
                <w:b/>
                <w:bCs/>
                <w:sz w:val="20"/>
                <w:szCs w:val="18"/>
              </w:rPr>
            </w:pPr>
          </w:p>
          <w:p w14:paraId="2D706F44" w14:textId="77777777" w:rsidR="00FA2744" w:rsidRDefault="00FA2744" w:rsidP="005904BD">
            <w:pPr>
              <w:rPr>
                <w:rFonts w:ascii="Times New Roman" w:hAnsi="Times New Roman" w:cs="Times New Roman"/>
                <w:b/>
                <w:bCs/>
                <w:sz w:val="20"/>
                <w:szCs w:val="18"/>
              </w:rPr>
            </w:pPr>
          </w:p>
          <w:p w14:paraId="726D957A" w14:textId="22909A1D" w:rsidR="00FA2744" w:rsidRPr="00D658C9" w:rsidRDefault="00FA2744" w:rsidP="005904BD">
            <w:pPr>
              <w:rPr>
                <w:rFonts w:ascii="Times New Roman" w:hAnsi="Times New Roman" w:cs="Times New Roman"/>
                <w:b/>
                <w:bCs/>
                <w:sz w:val="20"/>
                <w:szCs w:val="18"/>
              </w:rPr>
            </w:pPr>
            <w:r w:rsidRPr="004C0756">
              <w:rPr>
                <w:rFonts w:ascii="Times New Roman" w:hAnsi="Times New Roman" w:cs="Times New Roman"/>
                <w:sz w:val="20"/>
                <w:szCs w:val="20"/>
              </w:rPr>
              <w:t>“Modification of policies and procedures require notification to and approval by OAA. Notice of intent to modify a policy or procedure must be provided prior to adoption.</w:t>
            </w:r>
            <w:r>
              <w:rPr>
                <w:rFonts w:ascii="Times New Roman" w:hAnsi="Times New Roman" w:cs="Times New Roman"/>
                <w:sz w:val="20"/>
                <w:szCs w:val="20"/>
              </w:rPr>
              <w:t xml:space="preserve"> Changes to bylaws and all other gove</w:t>
            </w:r>
            <w:r w:rsidR="007561AE">
              <w:rPr>
                <w:rFonts w:ascii="Times New Roman" w:hAnsi="Times New Roman" w:cs="Times New Roman"/>
                <w:sz w:val="20"/>
                <w:szCs w:val="20"/>
              </w:rPr>
              <w:t>rnance documents do not become e</w:t>
            </w:r>
            <w:r>
              <w:rPr>
                <w:rFonts w:ascii="Times New Roman" w:hAnsi="Times New Roman" w:cs="Times New Roman"/>
                <w:sz w:val="20"/>
                <w:szCs w:val="20"/>
              </w:rPr>
              <w:t>ffective until approved by OAA.</w:t>
            </w:r>
            <w:r w:rsidRPr="004C0756">
              <w:rPr>
                <w:rFonts w:ascii="Times New Roman" w:hAnsi="Times New Roman" w:cs="Times New Roman"/>
                <w:sz w:val="20"/>
                <w:szCs w:val="20"/>
              </w:rPr>
              <w:t>”</w:t>
            </w:r>
          </w:p>
        </w:tc>
      </w:tr>
      <w:tr w:rsidR="00AB4C1D" w14:paraId="1139F316" w14:textId="77777777" w:rsidTr="00D45DE4">
        <w:trPr>
          <w:trHeight w:val="3600"/>
        </w:trPr>
        <w:tc>
          <w:tcPr>
            <w:tcW w:w="1828" w:type="dxa"/>
          </w:tcPr>
          <w:p w14:paraId="5246B0CE" w14:textId="77777777" w:rsidR="00AB4C1D" w:rsidRPr="00D658C9" w:rsidRDefault="00AB4C1D" w:rsidP="00D658C9">
            <w:pPr>
              <w:rPr>
                <w:rFonts w:ascii="Times New Roman" w:hAnsi="Times New Roman" w:cs="Times New Roman"/>
                <w:sz w:val="20"/>
                <w:szCs w:val="20"/>
              </w:rPr>
            </w:pPr>
            <w:r w:rsidRPr="00D658C9">
              <w:rPr>
                <w:rFonts w:ascii="Times New Roman" w:hAnsi="Times New Roman" w:cs="Times New Roman"/>
                <w:sz w:val="20"/>
                <w:szCs w:val="20"/>
              </w:rPr>
              <w:lastRenderedPageBreak/>
              <w:t>Academic Freedom and Governance</w:t>
            </w:r>
          </w:p>
        </w:tc>
        <w:tc>
          <w:tcPr>
            <w:tcW w:w="939" w:type="dxa"/>
          </w:tcPr>
          <w:p w14:paraId="7CF9B81B" w14:textId="77777777" w:rsidR="00AB4C1D" w:rsidRPr="00D658C9" w:rsidRDefault="00AB4C1D" w:rsidP="00D658C9">
            <w:pPr>
              <w:rPr>
                <w:rFonts w:ascii="Times New Roman" w:hAnsi="Times New Roman" w:cs="Times New Roman"/>
                <w:sz w:val="20"/>
                <w:szCs w:val="20"/>
              </w:rPr>
            </w:pPr>
            <w:r>
              <w:rPr>
                <w:rFonts w:ascii="Times New Roman" w:hAnsi="Times New Roman" w:cs="Times New Roman"/>
                <w:sz w:val="20"/>
                <w:szCs w:val="20"/>
              </w:rPr>
              <w:t>12.</w:t>
            </w:r>
            <w:r w:rsidRPr="00D658C9">
              <w:rPr>
                <w:rFonts w:ascii="Times New Roman" w:hAnsi="Times New Roman" w:cs="Times New Roman"/>
                <w:sz w:val="20"/>
                <w:szCs w:val="20"/>
              </w:rPr>
              <w:t>4</w:t>
            </w:r>
          </w:p>
        </w:tc>
        <w:tc>
          <w:tcPr>
            <w:tcW w:w="528" w:type="dxa"/>
          </w:tcPr>
          <w:p w14:paraId="1318EBE2" w14:textId="77777777" w:rsidR="00AB4C1D" w:rsidRPr="00D658C9" w:rsidRDefault="00AB4C1D" w:rsidP="00D658C9">
            <w:pPr>
              <w:rPr>
                <w:rFonts w:ascii="Times New Roman" w:hAnsi="Times New Roman" w:cs="Times New Roman"/>
                <w:sz w:val="20"/>
                <w:szCs w:val="20"/>
              </w:rPr>
            </w:pPr>
            <w:r w:rsidRPr="00D658C9">
              <w:rPr>
                <w:rFonts w:ascii="Times New Roman" w:hAnsi="Times New Roman" w:cs="Times New Roman"/>
                <w:sz w:val="20"/>
                <w:szCs w:val="20"/>
              </w:rPr>
              <w:t>13</w:t>
            </w:r>
          </w:p>
        </w:tc>
        <w:tc>
          <w:tcPr>
            <w:tcW w:w="3545" w:type="dxa"/>
          </w:tcPr>
          <w:p w14:paraId="3E1DEB2F" w14:textId="77777777" w:rsidR="00AB4C1D" w:rsidRPr="00D658C9" w:rsidRDefault="00AB4C1D" w:rsidP="00D658C9">
            <w:pPr>
              <w:rPr>
                <w:rFonts w:ascii="Times New Roman" w:hAnsi="Times New Roman" w:cs="Times New Roman"/>
                <w:sz w:val="20"/>
                <w:szCs w:val="20"/>
              </w:rPr>
            </w:pPr>
            <w:r w:rsidRPr="00D658C9">
              <w:rPr>
                <w:rFonts w:ascii="Times New Roman" w:hAnsi="Times New Roman" w:cs="Times New Roman"/>
                <w:sz w:val="20"/>
                <w:szCs w:val="20"/>
              </w:rPr>
              <w:t>Faculty, department chairs, and deans shall have the opportunity for effective participation in deliberations leading to recommendations for appointment, reappointment, tenure, or promotion of faculty. The University will recommend that departments review guidelines, in addition to guidelines for promotion and tenure, concerning effective participation of faculty in the hiring and promotion of faculty. Departments or units shall maintain guidelines for faculty participation in decisions concerning hiring of faculty</w:t>
            </w:r>
          </w:p>
        </w:tc>
        <w:tc>
          <w:tcPr>
            <w:tcW w:w="1260" w:type="dxa"/>
          </w:tcPr>
          <w:p w14:paraId="1CD438C0" w14:textId="41BA6162" w:rsidR="00AB4C1D" w:rsidRPr="00D658C9" w:rsidRDefault="007051CC" w:rsidP="00D658C9">
            <w:pPr>
              <w:rPr>
                <w:rFonts w:ascii="Times New Roman" w:hAnsi="Times New Roman" w:cs="Times New Roman"/>
                <w:sz w:val="20"/>
                <w:szCs w:val="20"/>
              </w:rPr>
            </w:pPr>
            <w:r>
              <w:rPr>
                <w:rFonts w:ascii="Times New Roman" w:hAnsi="Times New Roman" w:cs="Times New Roman"/>
                <w:sz w:val="20"/>
                <w:szCs w:val="20"/>
              </w:rPr>
              <w:t xml:space="preserve">Bylaws and/or </w:t>
            </w:r>
            <w:r w:rsidR="00AB4C1D" w:rsidRPr="00D658C9">
              <w:rPr>
                <w:rFonts w:ascii="Times New Roman" w:hAnsi="Times New Roman" w:cs="Times New Roman"/>
                <w:sz w:val="20"/>
                <w:szCs w:val="20"/>
              </w:rPr>
              <w:t>P&amp;T</w:t>
            </w:r>
            <w:r w:rsidR="007561AE">
              <w:rPr>
                <w:rFonts w:ascii="Times New Roman" w:hAnsi="Times New Roman" w:cs="Times New Roman"/>
                <w:sz w:val="20"/>
                <w:szCs w:val="20"/>
              </w:rPr>
              <w:t xml:space="preserve"> Guidelines</w:t>
            </w:r>
          </w:p>
        </w:tc>
        <w:tc>
          <w:tcPr>
            <w:tcW w:w="5768" w:type="dxa"/>
          </w:tcPr>
          <w:p w14:paraId="41D4B0F5" w14:textId="79227563" w:rsidR="00AB4C1D" w:rsidRPr="00D658C9" w:rsidRDefault="00AB4C1D" w:rsidP="00487D4A">
            <w:pPr>
              <w:rPr>
                <w:rFonts w:ascii="Times New Roman" w:hAnsi="Times New Roman" w:cs="Times New Roman"/>
                <w:sz w:val="20"/>
                <w:szCs w:val="20"/>
              </w:rPr>
            </w:pPr>
            <w:r w:rsidRPr="00D658C9">
              <w:rPr>
                <w:rFonts w:ascii="Times New Roman" w:hAnsi="Times New Roman" w:cs="Times New Roman"/>
                <w:sz w:val="20"/>
                <w:szCs w:val="20"/>
              </w:rPr>
              <w:t>Guidelines for faculty participation in decisions in the hiring and promotion of faculty.</w:t>
            </w:r>
          </w:p>
        </w:tc>
        <w:tc>
          <w:tcPr>
            <w:tcW w:w="3887" w:type="dxa"/>
            <w:shd w:val="clear" w:color="auto" w:fill="99FF99"/>
          </w:tcPr>
          <w:p w14:paraId="5F45BB94" w14:textId="02C0D6FA" w:rsidR="00AB4C1D" w:rsidRPr="00D658C9" w:rsidRDefault="007051CC" w:rsidP="00D658C9">
            <w:pPr>
              <w:rPr>
                <w:rFonts w:ascii="Times New Roman" w:hAnsi="Times New Roman" w:cs="Times New Roman"/>
                <w:sz w:val="20"/>
                <w:szCs w:val="20"/>
              </w:rPr>
            </w:pPr>
            <w:r>
              <w:rPr>
                <w:rFonts w:ascii="Times New Roman" w:hAnsi="Times New Roman" w:cs="Times New Roman"/>
                <w:sz w:val="20"/>
                <w:szCs w:val="20"/>
              </w:rPr>
              <w:t>Units to add language about composition and function of search committees, P&amp;T committee, departmental voting processes, and eligibility to vote.</w:t>
            </w:r>
          </w:p>
        </w:tc>
      </w:tr>
      <w:tr w:rsidR="00AB4C1D" w14:paraId="2FD7E966" w14:textId="77777777" w:rsidTr="00A12404">
        <w:trPr>
          <w:trHeight w:val="3600"/>
        </w:trPr>
        <w:tc>
          <w:tcPr>
            <w:tcW w:w="1828" w:type="dxa"/>
          </w:tcPr>
          <w:p w14:paraId="772F500E" w14:textId="77777777" w:rsidR="00AB4C1D" w:rsidRPr="00D658C9" w:rsidRDefault="00AB4C1D" w:rsidP="00D658C9">
            <w:pPr>
              <w:rPr>
                <w:rFonts w:ascii="Times New Roman" w:hAnsi="Times New Roman" w:cs="Times New Roman"/>
                <w:sz w:val="20"/>
                <w:szCs w:val="20"/>
              </w:rPr>
            </w:pPr>
            <w:r w:rsidRPr="00D658C9">
              <w:rPr>
                <w:rFonts w:ascii="Times New Roman" w:hAnsi="Times New Roman" w:cs="Times New Roman"/>
                <w:sz w:val="20"/>
                <w:szCs w:val="20"/>
              </w:rPr>
              <w:t>Promotion and Tenure</w:t>
            </w:r>
          </w:p>
        </w:tc>
        <w:tc>
          <w:tcPr>
            <w:tcW w:w="939" w:type="dxa"/>
          </w:tcPr>
          <w:p w14:paraId="6D1F2AB6" w14:textId="77777777" w:rsidR="00AB4C1D" w:rsidRPr="00D658C9" w:rsidRDefault="00AB4C1D" w:rsidP="00D658C9">
            <w:pPr>
              <w:rPr>
                <w:rFonts w:ascii="Times New Roman" w:hAnsi="Times New Roman" w:cs="Times New Roman"/>
                <w:sz w:val="20"/>
                <w:szCs w:val="20"/>
              </w:rPr>
            </w:pPr>
            <w:r>
              <w:rPr>
                <w:rFonts w:ascii="Times New Roman" w:hAnsi="Times New Roman" w:cs="Times New Roman"/>
                <w:sz w:val="20"/>
                <w:szCs w:val="20"/>
              </w:rPr>
              <w:t>14.</w:t>
            </w:r>
            <w:r w:rsidRPr="00D658C9">
              <w:rPr>
                <w:rFonts w:ascii="Times New Roman" w:hAnsi="Times New Roman" w:cs="Times New Roman"/>
                <w:sz w:val="20"/>
                <w:szCs w:val="20"/>
              </w:rPr>
              <w:t>2</w:t>
            </w:r>
          </w:p>
        </w:tc>
        <w:tc>
          <w:tcPr>
            <w:tcW w:w="528" w:type="dxa"/>
          </w:tcPr>
          <w:p w14:paraId="5FB66B3F" w14:textId="77777777" w:rsidR="00AB4C1D" w:rsidRPr="00D658C9" w:rsidRDefault="00AB4C1D" w:rsidP="00D658C9">
            <w:pPr>
              <w:rPr>
                <w:rFonts w:ascii="Times New Roman" w:hAnsi="Times New Roman" w:cs="Times New Roman"/>
                <w:sz w:val="20"/>
                <w:szCs w:val="20"/>
              </w:rPr>
            </w:pPr>
            <w:r w:rsidRPr="00D658C9">
              <w:rPr>
                <w:rFonts w:ascii="Times New Roman" w:hAnsi="Times New Roman" w:cs="Times New Roman"/>
                <w:sz w:val="20"/>
                <w:szCs w:val="20"/>
              </w:rPr>
              <w:t>14</w:t>
            </w:r>
          </w:p>
        </w:tc>
        <w:tc>
          <w:tcPr>
            <w:tcW w:w="3545" w:type="dxa"/>
          </w:tcPr>
          <w:p w14:paraId="743D35B6" w14:textId="77777777" w:rsidR="00AB4C1D" w:rsidRPr="00D658C9" w:rsidRDefault="00AB4C1D" w:rsidP="00D658C9">
            <w:pPr>
              <w:rPr>
                <w:rFonts w:ascii="Times New Roman" w:hAnsi="Times New Roman" w:cs="Times New Roman"/>
                <w:sz w:val="20"/>
                <w:szCs w:val="20"/>
              </w:rPr>
            </w:pPr>
            <w:r w:rsidRPr="00D658C9">
              <w:rPr>
                <w:rFonts w:ascii="Times New Roman" w:hAnsi="Times New Roman" w:cs="Times New Roman"/>
                <w:sz w:val="20"/>
                <w:szCs w:val="20"/>
              </w:rPr>
              <w:t xml:space="preserve">University Standards and guidelines on promotion, the award of tenure and salary increases can be altered, amended, modified, added to or subtracted from after a) consultation with the Association on criteria and b) agreement with the Association on changes in procedure. </w:t>
            </w:r>
            <w:r w:rsidRPr="00A12404">
              <w:rPr>
                <w:rFonts w:ascii="Times New Roman" w:hAnsi="Times New Roman" w:cs="Times New Roman"/>
                <w:sz w:val="20"/>
                <w:szCs w:val="20"/>
              </w:rPr>
              <w:t>Depts. do not have the latitude to make changes to P&amp;T procedures or adopt new P&amp;T procedures that are not consistent with those established at the University level.</w:t>
            </w:r>
            <w:r w:rsidRPr="00890B71">
              <w:rPr>
                <w:rFonts w:ascii="Times New Roman" w:hAnsi="Times New Roman" w:cs="Times New Roman"/>
                <w:sz w:val="20"/>
                <w:szCs w:val="20"/>
              </w:rPr>
              <w:t xml:space="preserve"> </w:t>
            </w:r>
          </w:p>
        </w:tc>
        <w:tc>
          <w:tcPr>
            <w:tcW w:w="1260" w:type="dxa"/>
          </w:tcPr>
          <w:p w14:paraId="6B42818C" w14:textId="7B446E88" w:rsidR="00AB4C1D" w:rsidRPr="00D658C9" w:rsidRDefault="00AB4C1D" w:rsidP="00D658C9">
            <w:pPr>
              <w:rPr>
                <w:rFonts w:ascii="Times New Roman" w:hAnsi="Times New Roman" w:cs="Times New Roman"/>
                <w:sz w:val="20"/>
                <w:szCs w:val="20"/>
              </w:rPr>
            </w:pPr>
            <w:r w:rsidRPr="00D658C9">
              <w:rPr>
                <w:rFonts w:ascii="Times New Roman" w:hAnsi="Times New Roman" w:cs="Times New Roman"/>
                <w:sz w:val="20"/>
                <w:szCs w:val="20"/>
              </w:rPr>
              <w:t>P&amp;T</w:t>
            </w:r>
            <w:r w:rsidR="007561AE">
              <w:rPr>
                <w:rFonts w:ascii="Times New Roman" w:hAnsi="Times New Roman" w:cs="Times New Roman"/>
                <w:sz w:val="20"/>
                <w:szCs w:val="20"/>
              </w:rPr>
              <w:t xml:space="preserve"> Guidelines</w:t>
            </w:r>
          </w:p>
        </w:tc>
        <w:tc>
          <w:tcPr>
            <w:tcW w:w="5768" w:type="dxa"/>
          </w:tcPr>
          <w:p w14:paraId="7170D091" w14:textId="77777777" w:rsidR="00AB4C1D" w:rsidRPr="00D658C9" w:rsidRDefault="00AB4C1D" w:rsidP="00D658C9">
            <w:pPr>
              <w:rPr>
                <w:rFonts w:ascii="Times New Roman" w:hAnsi="Times New Roman" w:cs="Times New Roman"/>
                <w:sz w:val="20"/>
                <w:szCs w:val="20"/>
              </w:rPr>
            </w:pPr>
            <w:r w:rsidRPr="00D658C9">
              <w:rPr>
                <w:rFonts w:ascii="Times New Roman" w:hAnsi="Times New Roman" w:cs="Times New Roman"/>
                <w:sz w:val="20"/>
                <w:szCs w:val="20"/>
              </w:rPr>
              <w:t>Language that states that departmental P&amp;T guidelines shall not deviate from University P&amp;T guidelines, and should departmental language not be consistent with University guidelines, the University guidelines shall be controlling.</w:t>
            </w:r>
          </w:p>
        </w:tc>
        <w:tc>
          <w:tcPr>
            <w:tcW w:w="3887" w:type="dxa"/>
            <w:shd w:val="clear" w:color="auto" w:fill="FF99FF"/>
          </w:tcPr>
          <w:p w14:paraId="47BB49A7" w14:textId="77777777" w:rsidR="00FC580A" w:rsidRDefault="00FC580A" w:rsidP="00890B71">
            <w:pPr>
              <w:rPr>
                <w:rFonts w:ascii="Times New Roman" w:hAnsi="Times New Roman" w:cs="Times New Roman"/>
                <w:sz w:val="20"/>
                <w:szCs w:val="20"/>
              </w:rPr>
            </w:pPr>
            <w:r w:rsidRPr="00D658C9">
              <w:rPr>
                <w:rFonts w:ascii="Times New Roman" w:hAnsi="Times New Roman" w:cs="Times New Roman"/>
                <w:sz w:val="20"/>
                <w:szCs w:val="20"/>
              </w:rPr>
              <w:t>Add</w:t>
            </w:r>
            <w:r w:rsidR="00AB4C1D" w:rsidRPr="00D658C9">
              <w:rPr>
                <w:rFonts w:ascii="Times New Roman" w:hAnsi="Times New Roman" w:cs="Times New Roman"/>
                <w:sz w:val="20"/>
                <w:szCs w:val="20"/>
              </w:rPr>
              <w:t xml:space="preserve"> section in entirety: </w:t>
            </w:r>
          </w:p>
          <w:p w14:paraId="27638451" w14:textId="7705583E" w:rsidR="00AB4C1D" w:rsidRPr="00D658C9" w:rsidRDefault="00AB4C1D" w:rsidP="00890B71">
            <w:pPr>
              <w:rPr>
                <w:rFonts w:ascii="Times New Roman" w:hAnsi="Times New Roman" w:cs="Times New Roman"/>
                <w:sz w:val="20"/>
                <w:szCs w:val="20"/>
              </w:rPr>
            </w:pPr>
            <w:r w:rsidRPr="00D658C9">
              <w:rPr>
                <w:rFonts w:ascii="Times New Roman" w:hAnsi="Times New Roman" w:cs="Times New Roman"/>
                <w:sz w:val="20"/>
                <w:szCs w:val="20"/>
              </w:rPr>
              <w:br/>
              <w:t>"</w:t>
            </w:r>
            <w:r w:rsidRPr="00D658C9">
              <w:rPr>
                <w:rFonts w:ascii="Times New Roman" w:hAnsi="Times New Roman" w:cs="Times New Roman"/>
                <w:b/>
                <w:bCs/>
                <w:sz w:val="20"/>
                <w:szCs w:val="20"/>
              </w:rPr>
              <w:t xml:space="preserve">Departmental P&amp;T Guidelines as Interpretation of University P&amp;T Guidelines; </w:t>
            </w:r>
            <w:r w:rsidRPr="00D658C9">
              <w:rPr>
                <w:rFonts w:ascii="Times New Roman" w:hAnsi="Times New Roman" w:cs="Times New Roman"/>
                <w:sz w:val="20"/>
                <w:szCs w:val="20"/>
              </w:rPr>
              <w:br/>
              <w:t>The department's P&amp;T Guidelines are an interpretation of and subordinate to the University P&amp;T Guidelines. These department P&amp;T Guidelines are not effective unless and until approved by</w:t>
            </w:r>
            <w:r>
              <w:rPr>
                <w:rFonts w:ascii="Times New Roman" w:hAnsi="Times New Roman" w:cs="Times New Roman"/>
                <w:sz w:val="20"/>
                <w:szCs w:val="20"/>
              </w:rPr>
              <w:t xml:space="preserve"> the Dean and</w:t>
            </w:r>
            <w:r w:rsidRPr="00D658C9">
              <w:rPr>
                <w:rFonts w:ascii="Times New Roman" w:hAnsi="Times New Roman" w:cs="Times New Roman"/>
                <w:sz w:val="20"/>
                <w:szCs w:val="20"/>
              </w:rPr>
              <w:t xml:space="preserve"> OAA. Changes to the department's P&amp;T guidelines shall not be effective unless and until approved by OAA."</w:t>
            </w:r>
          </w:p>
        </w:tc>
      </w:tr>
      <w:tr w:rsidR="007561AE" w14:paraId="49FAE7DE" w14:textId="77777777" w:rsidTr="007561AE">
        <w:trPr>
          <w:trHeight w:val="962"/>
        </w:trPr>
        <w:tc>
          <w:tcPr>
            <w:tcW w:w="1828" w:type="dxa"/>
            <w:vMerge w:val="restart"/>
          </w:tcPr>
          <w:p w14:paraId="0921BCF5" w14:textId="77777777" w:rsidR="007561AE" w:rsidRPr="00D658C9" w:rsidRDefault="007561AE" w:rsidP="00D658C9">
            <w:pPr>
              <w:rPr>
                <w:rFonts w:ascii="Times New Roman" w:hAnsi="Times New Roman" w:cs="Times New Roman"/>
                <w:sz w:val="20"/>
                <w:szCs w:val="20"/>
              </w:rPr>
            </w:pPr>
            <w:r w:rsidRPr="00D658C9">
              <w:rPr>
                <w:rFonts w:ascii="Times New Roman" w:hAnsi="Times New Roman" w:cs="Times New Roman"/>
                <w:sz w:val="20"/>
                <w:szCs w:val="20"/>
              </w:rPr>
              <w:t>Institutional Career Support/Peer Review</w:t>
            </w:r>
          </w:p>
        </w:tc>
        <w:tc>
          <w:tcPr>
            <w:tcW w:w="939" w:type="dxa"/>
            <w:vMerge w:val="restart"/>
          </w:tcPr>
          <w:p w14:paraId="6E5AC0BE" w14:textId="77777777" w:rsidR="007561AE" w:rsidRPr="00D658C9" w:rsidRDefault="007561AE" w:rsidP="00D658C9">
            <w:pPr>
              <w:rPr>
                <w:rFonts w:ascii="Times New Roman" w:hAnsi="Times New Roman" w:cs="Times New Roman"/>
                <w:sz w:val="20"/>
                <w:szCs w:val="20"/>
              </w:rPr>
            </w:pPr>
            <w:r>
              <w:rPr>
                <w:rFonts w:ascii="Times New Roman" w:hAnsi="Times New Roman" w:cs="Times New Roman"/>
                <w:sz w:val="20"/>
                <w:szCs w:val="20"/>
              </w:rPr>
              <w:t>16.</w:t>
            </w:r>
            <w:r w:rsidRPr="00D658C9">
              <w:rPr>
                <w:rFonts w:ascii="Times New Roman" w:hAnsi="Times New Roman" w:cs="Times New Roman"/>
                <w:sz w:val="20"/>
                <w:szCs w:val="20"/>
              </w:rPr>
              <w:t>2</w:t>
            </w:r>
          </w:p>
        </w:tc>
        <w:tc>
          <w:tcPr>
            <w:tcW w:w="528" w:type="dxa"/>
            <w:vMerge w:val="restart"/>
          </w:tcPr>
          <w:p w14:paraId="2AA12CA4" w14:textId="77777777" w:rsidR="007561AE" w:rsidRPr="00D658C9" w:rsidRDefault="007561AE" w:rsidP="00D658C9">
            <w:pPr>
              <w:rPr>
                <w:rFonts w:ascii="Times New Roman" w:hAnsi="Times New Roman" w:cs="Times New Roman"/>
                <w:sz w:val="20"/>
                <w:szCs w:val="20"/>
              </w:rPr>
            </w:pPr>
            <w:r w:rsidRPr="00D658C9">
              <w:rPr>
                <w:rFonts w:ascii="Times New Roman" w:hAnsi="Times New Roman" w:cs="Times New Roman"/>
                <w:sz w:val="20"/>
                <w:szCs w:val="20"/>
              </w:rPr>
              <w:t>14</w:t>
            </w:r>
          </w:p>
        </w:tc>
        <w:tc>
          <w:tcPr>
            <w:tcW w:w="3545" w:type="dxa"/>
            <w:vMerge w:val="restart"/>
          </w:tcPr>
          <w:p w14:paraId="043A4D8C" w14:textId="77777777" w:rsidR="007561AE" w:rsidRPr="00D658C9" w:rsidRDefault="007561AE" w:rsidP="00D658C9">
            <w:pPr>
              <w:rPr>
                <w:rFonts w:ascii="Times New Roman" w:hAnsi="Times New Roman" w:cs="Times New Roman"/>
                <w:sz w:val="20"/>
                <w:szCs w:val="20"/>
              </w:rPr>
            </w:pPr>
            <w:r w:rsidRPr="00A12404">
              <w:rPr>
                <w:rFonts w:ascii="Times New Roman" w:hAnsi="Times New Roman" w:cs="Times New Roman"/>
                <w:sz w:val="20"/>
                <w:szCs w:val="20"/>
              </w:rPr>
              <w:t>Incorporate</w:t>
            </w:r>
            <w:r w:rsidRPr="00A12404">
              <w:rPr>
                <w:rFonts w:ascii="Times New Roman" w:hAnsi="Times New Roman" w:cs="Times New Roman"/>
                <w:bCs/>
                <w:sz w:val="20"/>
                <w:szCs w:val="20"/>
              </w:rPr>
              <w:t xml:space="preserve"> in P&amp;T Guidelines</w:t>
            </w:r>
            <w:r w:rsidRPr="00D658C9">
              <w:rPr>
                <w:rFonts w:ascii="Times New Roman" w:hAnsi="Times New Roman" w:cs="Times New Roman"/>
                <w:sz w:val="20"/>
                <w:szCs w:val="20"/>
              </w:rPr>
              <w:t xml:space="preserve"> "Procedures for Post-Tenure Review at Portland State University"</w:t>
            </w:r>
          </w:p>
        </w:tc>
        <w:tc>
          <w:tcPr>
            <w:tcW w:w="1260" w:type="dxa"/>
            <w:vMerge w:val="restart"/>
          </w:tcPr>
          <w:p w14:paraId="4BBDAFA7" w14:textId="77777777" w:rsidR="007561AE" w:rsidRPr="00D658C9" w:rsidRDefault="007561AE" w:rsidP="00D658C9">
            <w:pPr>
              <w:rPr>
                <w:rFonts w:ascii="Times New Roman" w:hAnsi="Times New Roman" w:cs="Times New Roman"/>
                <w:sz w:val="20"/>
                <w:szCs w:val="20"/>
              </w:rPr>
            </w:pPr>
            <w:r w:rsidRPr="00D658C9">
              <w:rPr>
                <w:rFonts w:ascii="Times New Roman" w:hAnsi="Times New Roman" w:cs="Times New Roman"/>
                <w:sz w:val="20"/>
                <w:szCs w:val="20"/>
              </w:rPr>
              <w:t>P&amp;T Guidelines</w:t>
            </w:r>
          </w:p>
        </w:tc>
        <w:tc>
          <w:tcPr>
            <w:tcW w:w="5768" w:type="dxa"/>
            <w:vMerge w:val="restart"/>
          </w:tcPr>
          <w:p w14:paraId="4708718F" w14:textId="4F2E8C1B" w:rsidR="007561AE" w:rsidRPr="00D658C9" w:rsidRDefault="007561AE" w:rsidP="00FC580A">
            <w:pPr>
              <w:rPr>
                <w:rFonts w:ascii="Times New Roman" w:hAnsi="Times New Roman" w:cs="Times New Roman"/>
                <w:sz w:val="20"/>
                <w:szCs w:val="20"/>
              </w:rPr>
            </w:pPr>
            <w:r w:rsidRPr="00D658C9">
              <w:rPr>
                <w:rFonts w:ascii="Times New Roman" w:hAnsi="Times New Roman" w:cs="Times New Roman"/>
                <w:sz w:val="20"/>
                <w:szCs w:val="20"/>
              </w:rPr>
              <w:t>Pr</w:t>
            </w:r>
            <w:r>
              <w:rPr>
                <w:rFonts w:ascii="Times New Roman" w:hAnsi="Times New Roman" w:cs="Times New Roman"/>
                <w:sz w:val="20"/>
                <w:szCs w:val="20"/>
              </w:rPr>
              <w:t>ocedures for Post-Tenure Review</w:t>
            </w:r>
          </w:p>
        </w:tc>
        <w:tc>
          <w:tcPr>
            <w:tcW w:w="3887" w:type="dxa"/>
            <w:shd w:val="clear" w:color="auto" w:fill="99FF99"/>
          </w:tcPr>
          <w:p w14:paraId="5D9576C9" w14:textId="069304F4" w:rsidR="007561AE" w:rsidRPr="00D658C9" w:rsidRDefault="007561AE" w:rsidP="007561AE">
            <w:pPr>
              <w:rPr>
                <w:rFonts w:ascii="Times New Roman" w:hAnsi="Times New Roman" w:cs="Times New Roman"/>
                <w:sz w:val="20"/>
                <w:szCs w:val="20"/>
              </w:rPr>
            </w:pPr>
            <w:r>
              <w:rPr>
                <w:rFonts w:ascii="Times New Roman" w:hAnsi="Times New Roman" w:cs="Times New Roman"/>
                <w:sz w:val="20"/>
                <w:szCs w:val="20"/>
              </w:rPr>
              <w:t>Those units without approved PTR guidelines may r</w:t>
            </w:r>
            <w:r w:rsidRPr="00D658C9">
              <w:rPr>
                <w:rFonts w:ascii="Times New Roman" w:hAnsi="Times New Roman" w:cs="Times New Roman"/>
                <w:sz w:val="20"/>
                <w:szCs w:val="20"/>
              </w:rPr>
              <w:t>efer to Article 16, Section 2 or the PTR template on the OAA website:</w:t>
            </w:r>
          </w:p>
        </w:tc>
      </w:tr>
      <w:tr w:rsidR="007561AE" w14:paraId="26F78A5A" w14:textId="77777777" w:rsidTr="007561AE">
        <w:trPr>
          <w:trHeight w:val="576"/>
        </w:trPr>
        <w:tc>
          <w:tcPr>
            <w:tcW w:w="1828" w:type="dxa"/>
            <w:vMerge/>
          </w:tcPr>
          <w:p w14:paraId="371FAAF1" w14:textId="77777777" w:rsidR="007561AE" w:rsidRPr="00D658C9" w:rsidRDefault="007561AE" w:rsidP="00D658C9">
            <w:pPr>
              <w:rPr>
                <w:rFonts w:ascii="Times New Roman" w:hAnsi="Times New Roman" w:cs="Times New Roman"/>
                <w:sz w:val="20"/>
                <w:szCs w:val="20"/>
              </w:rPr>
            </w:pPr>
          </w:p>
        </w:tc>
        <w:tc>
          <w:tcPr>
            <w:tcW w:w="939" w:type="dxa"/>
            <w:vMerge/>
          </w:tcPr>
          <w:p w14:paraId="54ED9DF7" w14:textId="77777777" w:rsidR="007561AE" w:rsidRDefault="007561AE" w:rsidP="00D658C9">
            <w:pPr>
              <w:rPr>
                <w:rFonts w:ascii="Times New Roman" w:hAnsi="Times New Roman" w:cs="Times New Roman"/>
                <w:sz w:val="20"/>
                <w:szCs w:val="20"/>
              </w:rPr>
            </w:pPr>
          </w:p>
        </w:tc>
        <w:tc>
          <w:tcPr>
            <w:tcW w:w="528" w:type="dxa"/>
            <w:vMerge/>
          </w:tcPr>
          <w:p w14:paraId="3AD1F255" w14:textId="77777777" w:rsidR="007561AE" w:rsidRPr="00D658C9" w:rsidRDefault="007561AE" w:rsidP="00D658C9">
            <w:pPr>
              <w:rPr>
                <w:rFonts w:ascii="Times New Roman" w:hAnsi="Times New Roman" w:cs="Times New Roman"/>
                <w:sz w:val="20"/>
                <w:szCs w:val="20"/>
              </w:rPr>
            </w:pPr>
          </w:p>
        </w:tc>
        <w:tc>
          <w:tcPr>
            <w:tcW w:w="3545" w:type="dxa"/>
            <w:vMerge/>
          </w:tcPr>
          <w:p w14:paraId="234A8C69" w14:textId="77777777" w:rsidR="007561AE" w:rsidRPr="00A12404" w:rsidRDefault="007561AE" w:rsidP="00D658C9">
            <w:pPr>
              <w:rPr>
                <w:rFonts w:ascii="Times New Roman" w:hAnsi="Times New Roman" w:cs="Times New Roman"/>
                <w:sz w:val="20"/>
                <w:szCs w:val="20"/>
              </w:rPr>
            </w:pPr>
          </w:p>
        </w:tc>
        <w:tc>
          <w:tcPr>
            <w:tcW w:w="1260" w:type="dxa"/>
            <w:vMerge/>
          </w:tcPr>
          <w:p w14:paraId="7DF95056" w14:textId="77777777" w:rsidR="007561AE" w:rsidRPr="00D658C9" w:rsidRDefault="007561AE" w:rsidP="00D658C9">
            <w:pPr>
              <w:rPr>
                <w:rFonts w:ascii="Times New Roman" w:hAnsi="Times New Roman" w:cs="Times New Roman"/>
                <w:sz w:val="20"/>
                <w:szCs w:val="20"/>
              </w:rPr>
            </w:pPr>
          </w:p>
        </w:tc>
        <w:tc>
          <w:tcPr>
            <w:tcW w:w="5768" w:type="dxa"/>
            <w:vMerge/>
          </w:tcPr>
          <w:p w14:paraId="608BFC49" w14:textId="77777777" w:rsidR="007561AE" w:rsidRPr="00D658C9" w:rsidRDefault="007561AE" w:rsidP="00FC580A">
            <w:pPr>
              <w:rPr>
                <w:rFonts w:ascii="Times New Roman" w:hAnsi="Times New Roman" w:cs="Times New Roman"/>
                <w:sz w:val="20"/>
                <w:szCs w:val="20"/>
              </w:rPr>
            </w:pPr>
          </w:p>
        </w:tc>
        <w:tc>
          <w:tcPr>
            <w:tcW w:w="3887" w:type="dxa"/>
            <w:shd w:val="clear" w:color="auto" w:fill="FF99FF"/>
          </w:tcPr>
          <w:p w14:paraId="755A5EE6" w14:textId="54F3BBDF" w:rsidR="007561AE" w:rsidRDefault="00B573B2" w:rsidP="004D243F">
            <w:pPr>
              <w:rPr>
                <w:rFonts w:ascii="Times New Roman" w:hAnsi="Times New Roman" w:cs="Times New Roman"/>
                <w:sz w:val="20"/>
                <w:szCs w:val="20"/>
              </w:rPr>
            </w:pPr>
            <w:hyperlink r:id="rId8" w:history="1">
              <w:r w:rsidR="007561AE" w:rsidRPr="009B78D3">
                <w:rPr>
                  <w:rStyle w:val="Hyperlink"/>
                  <w:rFonts w:ascii="Times New Roman" w:hAnsi="Times New Roman" w:cs="Times New Roman"/>
                  <w:color w:val="1F4E79" w:themeColor="accent1" w:themeShade="80"/>
                  <w:sz w:val="20"/>
                  <w:szCs w:val="20"/>
                </w:rPr>
                <w:t>https://www.pdx.edu/academic-affairs/promotion-and-tenure-information</w:t>
              </w:r>
            </w:hyperlink>
          </w:p>
        </w:tc>
      </w:tr>
      <w:tr w:rsidR="00AB4C1D" w14:paraId="4D5D3C63" w14:textId="77777777" w:rsidTr="004D243F">
        <w:trPr>
          <w:trHeight w:val="11520"/>
        </w:trPr>
        <w:tc>
          <w:tcPr>
            <w:tcW w:w="1828" w:type="dxa"/>
          </w:tcPr>
          <w:p w14:paraId="399E0A3D" w14:textId="77777777" w:rsidR="00AB4C1D" w:rsidRPr="00D658C9" w:rsidRDefault="00AB4C1D" w:rsidP="00D658C9">
            <w:pPr>
              <w:rPr>
                <w:rFonts w:ascii="Times New Roman" w:hAnsi="Times New Roman" w:cs="Times New Roman"/>
                <w:sz w:val="20"/>
                <w:szCs w:val="20"/>
              </w:rPr>
            </w:pPr>
            <w:r w:rsidRPr="00D658C9">
              <w:rPr>
                <w:rFonts w:ascii="Times New Roman" w:hAnsi="Times New Roman" w:cs="Times New Roman"/>
                <w:sz w:val="20"/>
                <w:szCs w:val="20"/>
              </w:rPr>
              <w:lastRenderedPageBreak/>
              <w:t>Academic Professional Faculty</w:t>
            </w:r>
          </w:p>
        </w:tc>
        <w:tc>
          <w:tcPr>
            <w:tcW w:w="939" w:type="dxa"/>
          </w:tcPr>
          <w:p w14:paraId="7EFB90C9" w14:textId="77777777" w:rsidR="00AB4C1D" w:rsidRPr="00D658C9" w:rsidRDefault="00AB4C1D" w:rsidP="00D658C9">
            <w:pPr>
              <w:rPr>
                <w:rFonts w:ascii="Times New Roman" w:hAnsi="Times New Roman" w:cs="Times New Roman"/>
                <w:sz w:val="20"/>
                <w:szCs w:val="20"/>
              </w:rPr>
            </w:pPr>
            <w:r>
              <w:rPr>
                <w:rFonts w:ascii="Times New Roman" w:hAnsi="Times New Roman" w:cs="Times New Roman"/>
                <w:sz w:val="20"/>
                <w:szCs w:val="20"/>
              </w:rPr>
              <w:t>17.</w:t>
            </w:r>
            <w:r w:rsidRPr="00D658C9">
              <w:rPr>
                <w:rFonts w:ascii="Times New Roman" w:hAnsi="Times New Roman" w:cs="Times New Roman"/>
                <w:sz w:val="20"/>
                <w:szCs w:val="20"/>
              </w:rPr>
              <w:t>8</w:t>
            </w:r>
          </w:p>
        </w:tc>
        <w:tc>
          <w:tcPr>
            <w:tcW w:w="528" w:type="dxa"/>
          </w:tcPr>
          <w:p w14:paraId="13EE6BEE" w14:textId="77777777" w:rsidR="00AB4C1D" w:rsidRPr="00D658C9" w:rsidRDefault="00AB4C1D" w:rsidP="00D658C9">
            <w:pPr>
              <w:rPr>
                <w:rFonts w:ascii="Times New Roman" w:hAnsi="Times New Roman" w:cs="Times New Roman"/>
                <w:sz w:val="20"/>
                <w:szCs w:val="20"/>
              </w:rPr>
            </w:pPr>
            <w:r w:rsidRPr="00D658C9">
              <w:rPr>
                <w:rFonts w:ascii="Times New Roman" w:hAnsi="Times New Roman" w:cs="Times New Roman"/>
                <w:sz w:val="20"/>
                <w:szCs w:val="20"/>
              </w:rPr>
              <w:t>19</w:t>
            </w:r>
          </w:p>
        </w:tc>
        <w:tc>
          <w:tcPr>
            <w:tcW w:w="3545" w:type="dxa"/>
          </w:tcPr>
          <w:p w14:paraId="3CAF3525" w14:textId="77777777" w:rsidR="00AB4C1D" w:rsidRPr="00D658C9" w:rsidRDefault="00AB4C1D" w:rsidP="00890B71">
            <w:pPr>
              <w:rPr>
                <w:rFonts w:ascii="Times New Roman" w:hAnsi="Times New Roman" w:cs="Times New Roman"/>
                <w:sz w:val="20"/>
                <w:szCs w:val="20"/>
              </w:rPr>
            </w:pPr>
            <w:r w:rsidRPr="00D658C9">
              <w:rPr>
                <w:rFonts w:ascii="Times New Roman" w:hAnsi="Times New Roman" w:cs="Times New Roman"/>
                <w:sz w:val="20"/>
                <w:szCs w:val="20"/>
              </w:rPr>
              <w:t xml:space="preserve">(a) All Academic Professionals shall have </w:t>
            </w:r>
            <w:r w:rsidRPr="00D658C9">
              <w:rPr>
                <w:rFonts w:ascii="Times New Roman" w:hAnsi="Times New Roman" w:cs="Times New Roman"/>
                <w:b/>
                <w:bCs/>
                <w:sz w:val="20"/>
                <w:szCs w:val="20"/>
              </w:rPr>
              <w:t>annual performance reviews (evaluations)</w:t>
            </w:r>
            <w:r w:rsidRPr="00D658C9">
              <w:rPr>
                <w:rFonts w:ascii="Times New Roman" w:hAnsi="Times New Roman" w:cs="Times New Roman"/>
                <w:sz w:val="20"/>
                <w:szCs w:val="20"/>
              </w:rPr>
              <w:t xml:space="preserve">. The performance review year will be for the preceding 12 months. A calendar for the performance evaluation cycle shall be established and published at the same time as the promotion and tenure review cycle (distributed Sept. 2016). Academic Professionals on one-year appointments shall be reviewed annually. </w:t>
            </w:r>
            <w:r w:rsidRPr="00D658C9">
              <w:rPr>
                <w:rFonts w:ascii="Times New Roman" w:hAnsi="Times New Roman" w:cs="Times New Roman"/>
                <w:sz w:val="20"/>
                <w:szCs w:val="20"/>
              </w:rPr>
              <w:br/>
            </w:r>
            <w:r w:rsidRPr="00D658C9">
              <w:rPr>
                <w:rFonts w:ascii="Times New Roman" w:hAnsi="Times New Roman" w:cs="Times New Roman"/>
                <w:sz w:val="20"/>
                <w:szCs w:val="20"/>
              </w:rPr>
              <w:br/>
              <w:t xml:space="preserve">(b) Each division, school, or college is required, </w:t>
            </w:r>
            <w:r w:rsidRPr="00D658C9">
              <w:rPr>
                <w:rFonts w:ascii="Times New Roman" w:hAnsi="Times New Roman" w:cs="Times New Roman"/>
                <w:b/>
                <w:bCs/>
                <w:sz w:val="20"/>
                <w:szCs w:val="20"/>
              </w:rPr>
              <w:t>with the participation of the appropriate academic professional employees,</w:t>
            </w:r>
            <w:r w:rsidRPr="00D658C9">
              <w:rPr>
                <w:rFonts w:ascii="Times New Roman" w:hAnsi="Times New Roman" w:cs="Times New Roman"/>
                <w:sz w:val="20"/>
                <w:szCs w:val="20"/>
              </w:rPr>
              <w:t xml:space="preserve"> </w:t>
            </w:r>
            <w:r w:rsidRPr="00D658C9">
              <w:rPr>
                <w:rFonts w:ascii="Times New Roman" w:hAnsi="Times New Roman" w:cs="Times New Roman"/>
                <w:b/>
                <w:bCs/>
                <w:sz w:val="20"/>
                <w:szCs w:val="20"/>
              </w:rPr>
              <w:t>to establish specific written job-relevant criteria supporting the achievement of program, division, school or college, and university goals as well as professional growth of individuals</w:t>
            </w:r>
            <w:r w:rsidRPr="00D658C9">
              <w:rPr>
                <w:rFonts w:ascii="Times New Roman" w:hAnsi="Times New Roman" w:cs="Times New Roman"/>
                <w:sz w:val="20"/>
                <w:szCs w:val="20"/>
              </w:rPr>
              <w:t xml:space="preserve">. Such evaluation methods and criteria should be clear and unambiguous, but also flexible; so that, when an Academic Professional's assignment is in multiple areas such as teaching, research, administration, and service, the evaluation will </w:t>
            </w:r>
            <w:r>
              <w:rPr>
                <w:rFonts w:ascii="Times New Roman" w:hAnsi="Times New Roman" w:cs="Times New Roman"/>
                <w:sz w:val="20"/>
                <w:szCs w:val="20"/>
              </w:rPr>
              <w:t>address all appropriate areas.</w:t>
            </w:r>
            <w:r w:rsidRPr="00D658C9">
              <w:rPr>
                <w:rFonts w:ascii="Times New Roman" w:hAnsi="Times New Roman" w:cs="Times New Roman"/>
                <w:color w:val="C00000"/>
                <w:sz w:val="20"/>
                <w:szCs w:val="20"/>
              </w:rPr>
              <w:br/>
            </w:r>
            <w:r w:rsidRPr="00D658C9">
              <w:rPr>
                <w:rFonts w:ascii="Times New Roman" w:hAnsi="Times New Roman" w:cs="Times New Roman"/>
                <w:color w:val="C00000"/>
                <w:sz w:val="20"/>
                <w:szCs w:val="20"/>
              </w:rPr>
              <w:br/>
            </w:r>
            <w:r w:rsidRPr="004C0756">
              <w:rPr>
                <w:rFonts w:ascii="Times New Roman" w:hAnsi="Times New Roman" w:cs="Times New Roman"/>
                <w:sz w:val="20"/>
                <w:szCs w:val="20"/>
              </w:rPr>
              <w:t>(d) Performance evaluations shall document in writing consideration of: Job performance relative to established criteria during the evaluation period; Professional development and future expectations.</w:t>
            </w:r>
            <w:r w:rsidRPr="004C0756">
              <w:rPr>
                <w:rFonts w:ascii="Times New Roman" w:hAnsi="Times New Roman" w:cs="Times New Roman"/>
                <w:sz w:val="20"/>
                <w:szCs w:val="20"/>
              </w:rPr>
              <w:br/>
            </w:r>
            <w:r w:rsidRPr="004C0756">
              <w:rPr>
                <w:rFonts w:ascii="Times New Roman" w:hAnsi="Times New Roman" w:cs="Times New Roman"/>
                <w:sz w:val="20"/>
                <w:szCs w:val="20"/>
              </w:rPr>
              <w:br/>
              <w:t xml:space="preserve">The Provost, or other relevant vice president, vice provost, or dean of each division, school, or college is responsible for an annual evaluation of all Academic </w:t>
            </w:r>
            <w:r w:rsidRPr="004C0756">
              <w:rPr>
                <w:rFonts w:ascii="Times New Roman" w:hAnsi="Times New Roman" w:cs="Times New Roman"/>
                <w:sz w:val="20"/>
                <w:szCs w:val="20"/>
              </w:rPr>
              <w:lastRenderedPageBreak/>
              <w:t>Professionals employed within his/her unit. The evaluation shall be conducted according to the guidelines established by the University. The guidelines shall be available on the Office of Human Resources website. The University will seek input from Academic Professionals and the Association if substantial changes are contemplated.</w:t>
            </w:r>
          </w:p>
        </w:tc>
        <w:tc>
          <w:tcPr>
            <w:tcW w:w="1260" w:type="dxa"/>
          </w:tcPr>
          <w:p w14:paraId="2896A250" w14:textId="5AC267F5" w:rsidR="00AB4C1D" w:rsidRPr="00D658C9" w:rsidRDefault="00AB4C1D" w:rsidP="00D658C9">
            <w:pPr>
              <w:rPr>
                <w:rFonts w:ascii="Times New Roman" w:hAnsi="Times New Roman" w:cs="Times New Roman"/>
                <w:sz w:val="20"/>
                <w:szCs w:val="20"/>
              </w:rPr>
            </w:pPr>
            <w:r w:rsidRPr="00D658C9">
              <w:rPr>
                <w:rFonts w:ascii="Times New Roman" w:hAnsi="Times New Roman" w:cs="Times New Roman"/>
                <w:sz w:val="20"/>
                <w:szCs w:val="20"/>
              </w:rPr>
              <w:lastRenderedPageBreak/>
              <w:t>P&amp;T Guidelines</w:t>
            </w:r>
            <w:r>
              <w:rPr>
                <w:rFonts w:ascii="Times New Roman" w:hAnsi="Times New Roman" w:cs="Times New Roman"/>
                <w:sz w:val="20"/>
                <w:szCs w:val="20"/>
              </w:rPr>
              <w:t xml:space="preserve"> or Bylaws</w:t>
            </w:r>
          </w:p>
        </w:tc>
        <w:tc>
          <w:tcPr>
            <w:tcW w:w="5768" w:type="dxa"/>
          </w:tcPr>
          <w:p w14:paraId="4C5C04D0" w14:textId="77777777" w:rsidR="00FC580A" w:rsidRPr="004C0756" w:rsidRDefault="00FC580A" w:rsidP="00FC580A">
            <w:pPr>
              <w:rPr>
                <w:rFonts w:ascii="Times New Roman" w:hAnsi="Times New Roman" w:cs="Times New Roman"/>
                <w:sz w:val="20"/>
                <w:szCs w:val="20"/>
              </w:rPr>
            </w:pPr>
            <w:r w:rsidRPr="004C0756">
              <w:rPr>
                <w:rFonts w:ascii="Times New Roman" w:hAnsi="Times New Roman" w:cs="Times New Roman"/>
                <w:sz w:val="20"/>
                <w:szCs w:val="20"/>
              </w:rPr>
              <w:t>Evaluation guidelines consistent with University guidelines. *see HR website for evaluating AP</w:t>
            </w:r>
            <w:r>
              <w:rPr>
                <w:rFonts w:ascii="Times New Roman" w:hAnsi="Times New Roman" w:cs="Times New Roman"/>
                <w:sz w:val="20"/>
                <w:szCs w:val="20"/>
              </w:rPr>
              <w:t>s</w:t>
            </w:r>
            <w:r w:rsidRPr="004C0756">
              <w:rPr>
                <w:rFonts w:ascii="Times New Roman" w:hAnsi="Times New Roman" w:cs="Times New Roman"/>
                <w:sz w:val="20"/>
                <w:szCs w:val="20"/>
              </w:rPr>
              <w:t xml:space="preserve">: </w:t>
            </w:r>
            <w:hyperlink r:id="rId9" w:history="1">
              <w:r w:rsidRPr="004C0756">
                <w:rPr>
                  <w:rStyle w:val="Hyperlink"/>
                  <w:rFonts w:ascii="Times New Roman" w:hAnsi="Times New Roman" w:cs="Times New Roman"/>
                  <w:color w:val="C00000"/>
                  <w:sz w:val="20"/>
                  <w:szCs w:val="20"/>
                </w:rPr>
                <w:t>https://www.pdx.edu/hr/evaluating-employees</w:t>
              </w:r>
            </w:hyperlink>
          </w:p>
          <w:p w14:paraId="35DD90AF" w14:textId="5136773C" w:rsidR="00AB4C1D" w:rsidRPr="00D658C9" w:rsidRDefault="00AB4C1D" w:rsidP="00D658C9">
            <w:pPr>
              <w:rPr>
                <w:rFonts w:ascii="Times New Roman" w:hAnsi="Times New Roman" w:cs="Times New Roman"/>
                <w:sz w:val="20"/>
                <w:szCs w:val="20"/>
              </w:rPr>
            </w:pPr>
          </w:p>
        </w:tc>
        <w:tc>
          <w:tcPr>
            <w:tcW w:w="3887" w:type="dxa"/>
            <w:shd w:val="clear" w:color="auto" w:fill="FF99FF"/>
          </w:tcPr>
          <w:p w14:paraId="46DFF20B" w14:textId="77777777" w:rsidR="00213299" w:rsidRDefault="00FC580A" w:rsidP="00737BCA">
            <w:pPr>
              <w:rPr>
                <w:rFonts w:ascii="Times New Roman" w:hAnsi="Times New Roman" w:cs="Times New Roman"/>
                <w:sz w:val="20"/>
                <w:szCs w:val="20"/>
              </w:rPr>
            </w:pPr>
            <w:r w:rsidRPr="004C0756">
              <w:rPr>
                <w:rFonts w:ascii="Times New Roman" w:hAnsi="Times New Roman" w:cs="Times New Roman"/>
                <w:sz w:val="20"/>
                <w:szCs w:val="20"/>
              </w:rPr>
              <w:t>Add</w:t>
            </w:r>
            <w:r w:rsidR="00AB4C1D" w:rsidRPr="004C0756">
              <w:rPr>
                <w:rFonts w:ascii="Times New Roman" w:hAnsi="Times New Roman" w:cs="Times New Roman"/>
                <w:sz w:val="20"/>
                <w:szCs w:val="20"/>
              </w:rPr>
              <w:t xml:space="preserve"> section in entirety:</w:t>
            </w:r>
          </w:p>
          <w:p w14:paraId="51BFFD17" w14:textId="036195FC" w:rsidR="00AB4C1D" w:rsidRPr="00D658C9" w:rsidRDefault="00AB4C1D" w:rsidP="00011B38">
            <w:pPr>
              <w:rPr>
                <w:rFonts w:ascii="Times New Roman" w:hAnsi="Times New Roman" w:cs="Times New Roman"/>
                <w:color w:val="E26B0A"/>
                <w:sz w:val="20"/>
                <w:szCs w:val="20"/>
              </w:rPr>
            </w:pPr>
            <w:r w:rsidRPr="004C0756">
              <w:rPr>
                <w:rFonts w:ascii="Times New Roman" w:hAnsi="Times New Roman" w:cs="Times New Roman"/>
                <w:sz w:val="20"/>
                <w:szCs w:val="20"/>
              </w:rPr>
              <w:br/>
              <w:t>"</w:t>
            </w:r>
            <w:r w:rsidRPr="004C0756">
              <w:rPr>
                <w:rFonts w:ascii="Times New Roman" w:hAnsi="Times New Roman" w:cs="Times New Roman"/>
                <w:b/>
                <w:bCs/>
                <w:sz w:val="20"/>
                <w:szCs w:val="20"/>
              </w:rPr>
              <w:t>Annual Performance Reviews for Academic Professionals. In accordance with the AAUP CBA:</w:t>
            </w:r>
            <w:r w:rsidRPr="004C0756">
              <w:rPr>
                <w:rFonts w:ascii="Times New Roman" w:hAnsi="Times New Roman" w:cs="Times New Roman"/>
                <w:sz w:val="20"/>
                <w:szCs w:val="20"/>
              </w:rPr>
              <w:br/>
              <w:t xml:space="preserve">1. All academic professionals will be reviewed annually for the preceding twelve (12) months based on </w:t>
            </w:r>
            <w:r w:rsidR="007561AE">
              <w:rPr>
                <w:rFonts w:ascii="Times New Roman" w:hAnsi="Times New Roman" w:cs="Times New Roman"/>
                <w:sz w:val="20"/>
                <w:szCs w:val="20"/>
              </w:rPr>
              <w:t>an evaluation</w:t>
            </w:r>
            <w:r w:rsidRPr="004C0756">
              <w:rPr>
                <w:rFonts w:ascii="Times New Roman" w:hAnsi="Times New Roman" w:cs="Times New Roman"/>
                <w:sz w:val="20"/>
                <w:szCs w:val="20"/>
              </w:rPr>
              <w:t xml:space="preserve"> </w:t>
            </w:r>
            <w:r w:rsidR="007561AE">
              <w:rPr>
                <w:rFonts w:ascii="Times New Roman" w:hAnsi="Times New Roman" w:cs="Times New Roman"/>
                <w:sz w:val="20"/>
                <w:szCs w:val="20"/>
              </w:rPr>
              <w:t xml:space="preserve">cycle to be established and </w:t>
            </w:r>
            <w:r w:rsidR="00011B38">
              <w:rPr>
                <w:rFonts w:ascii="Times New Roman" w:hAnsi="Times New Roman" w:cs="Times New Roman"/>
                <w:sz w:val="20"/>
                <w:szCs w:val="20"/>
              </w:rPr>
              <w:t>announced</w:t>
            </w:r>
            <w:r w:rsidR="007561AE">
              <w:rPr>
                <w:rFonts w:ascii="Times New Roman" w:hAnsi="Times New Roman" w:cs="Times New Roman"/>
                <w:sz w:val="20"/>
                <w:szCs w:val="20"/>
              </w:rPr>
              <w:t xml:space="preserve"> at the same time as the P&amp;T cycle</w:t>
            </w:r>
            <w:r w:rsidRPr="004C0756">
              <w:rPr>
                <w:rFonts w:ascii="Times New Roman" w:hAnsi="Times New Roman" w:cs="Times New Roman"/>
                <w:sz w:val="20"/>
                <w:szCs w:val="20"/>
              </w:rPr>
              <w:t xml:space="preserve">. </w:t>
            </w:r>
            <w:r w:rsidRPr="004C0756">
              <w:rPr>
                <w:rFonts w:ascii="Times New Roman" w:hAnsi="Times New Roman" w:cs="Times New Roman"/>
                <w:sz w:val="20"/>
                <w:szCs w:val="20"/>
              </w:rPr>
              <w:br/>
              <w:t xml:space="preserve">2. </w:t>
            </w:r>
            <w:r w:rsidR="00737BCA">
              <w:rPr>
                <w:rFonts w:ascii="Times New Roman" w:hAnsi="Times New Roman" w:cs="Times New Roman"/>
                <w:sz w:val="20"/>
                <w:szCs w:val="20"/>
              </w:rPr>
              <w:t>The Department Chair shall seek input from the academic professional to establish specific job relevant criteria upon which the annual review for the next review period will be based either at the time of the annual evaluation for the previous year, or at the beginning of the next review period.</w:t>
            </w:r>
          </w:p>
        </w:tc>
      </w:tr>
      <w:tr w:rsidR="00AB4C1D" w14:paraId="7D90159E" w14:textId="77777777" w:rsidTr="004D243F">
        <w:trPr>
          <w:trHeight w:val="8640"/>
        </w:trPr>
        <w:tc>
          <w:tcPr>
            <w:tcW w:w="1828" w:type="dxa"/>
          </w:tcPr>
          <w:p w14:paraId="0CE2846D" w14:textId="77777777" w:rsidR="00AB4C1D" w:rsidRPr="00E023E3" w:rsidRDefault="00AB4C1D" w:rsidP="00E023E3">
            <w:pPr>
              <w:rPr>
                <w:rFonts w:ascii="Times New Roman" w:hAnsi="Times New Roman" w:cs="Times New Roman"/>
                <w:sz w:val="20"/>
                <w:szCs w:val="20"/>
              </w:rPr>
            </w:pPr>
            <w:r w:rsidRPr="00E023E3">
              <w:rPr>
                <w:rFonts w:ascii="Times New Roman" w:hAnsi="Times New Roman" w:cs="Times New Roman"/>
                <w:sz w:val="20"/>
                <w:szCs w:val="20"/>
              </w:rPr>
              <w:lastRenderedPageBreak/>
              <w:t>Academic Professional Faculty</w:t>
            </w:r>
          </w:p>
        </w:tc>
        <w:tc>
          <w:tcPr>
            <w:tcW w:w="939" w:type="dxa"/>
          </w:tcPr>
          <w:p w14:paraId="68FEF0A2" w14:textId="77777777" w:rsidR="00AB4C1D" w:rsidRPr="00E023E3" w:rsidRDefault="00AB4C1D" w:rsidP="00E023E3">
            <w:pPr>
              <w:rPr>
                <w:rFonts w:ascii="Times New Roman" w:hAnsi="Times New Roman" w:cs="Times New Roman"/>
                <w:sz w:val="20"/>
                <w:szCs w:val="20"/>
              </w:rPr>
            </w:pPr>
            <w:r>
              <w:rPr>
                <w:rFonts w:ascii="Times New Roman" w:hAnsi="Times New Roman" w:cs="Times New Roman"/>
                <w:sz w:val="20"/>
                <w:szCs w:val="20"/>
              </w:rPr>
              <w:t>17.</w:t>
            </w:r>
            <w:r w:rsidRPr="00E023E3">
              <w:rPr>
                <w:rFonts w:ascii="Times New Roman" w:hAnsi="Times New Roman" w:cs="Times New Roman"/>
                <w:sz w:val="20"/>
                <w:szCs w:val="20"/>
              </w:rPr>
              <w:t>9</w:t>
            </w:r>
            <w:r>
              <w:rPr>
                <w:rFonts w:ascii="Times New Roman" w:hAnsi="Times New Roman" w:cs="Times New Roman"/>
                <w:sz w:val="20"/>
                <w:szCs w:val="20"/>
              </w:rPr>
              <w:t>(c)</w:t>
            </w:r>
          </w:p>
        </w:tc>
        <w:tc>
          <w:tcPr>
            <w:tcW w:w="528" w:type="dxa"/>
          </w:tcPr>
          <w:p w14:paraId="1762690C" w14:textId="77777777" w:rsidR="00AB4C1D" w:rsidRPr="00E023E3" w:rsidRDefault="00AB4C1D" w:rsidP="00E023E3">
            <w:pPr>
              <w:rPr>
                <w:rFonts w:ascii="Times New Roman" w:hAnsi="Times New Roman" w:cs="Times New Roman"/>
                <w:sz w:val="20"/>
                <w:szCs w:val="20"/>
              </w:rPr>
            </w:pPr>
            <w:r w:rsidRPr="00E023E3">
              <w:rPr>
                <w:rFonts w:ascii="Times New Roman" w:hAnsi="Times New Roman" w:cs="Times New Roman"/>
                <w:sz w:val="20"/>
                <w:szCs w:val="20"/>
              </w:rPr>
              <w:t>20</w:t>
            </w:r>
          </w:p>
        </w:tc>
        <w:tc>
          <w:tcPr>
            <w:tcW w:w="3545" w:type="dxa"/>
          </w:tcPr>
          <w:p w14:paraId="35649DF1" w14:textId="77777777" w:rsidR="00AB4C1D" w:rsidRPr="00E023E3" w:rsidRDefault="00AB4C1D" w:rsidP="00E023E3">
            <w:pPr>
              <w:rPr>
                <w:rFonts w:ascii="Times New Roman" w:hAnsi="Times New Roman" w:cs="Times New Roman"/>
                <w:sz w:val="20"/>
                <w:szCs w:val="20"/>
              </w:rPr>
            </w:pPr>
            <w:r w:rsidRPr="00E023E3">
              <w:rPr>
                <w:rFonts w:ascii="Times New Roman" w:hAnsi="Times New Roman" w:cs="Times New Roman"/>
                <w:sz w:val="20"/>
                <w:szCs w:val="20"/>
              </w:rPr>
              <w:t>For full-time overtime-exempt Academic Professionals, the workload is expected to be approximately 2080 hours per year. Overtime-exempt Academic Professionals have no expectation of receiving additional salary for hours that exceed this number. The Association and the University acknowledge that the amount of work may cycle with time of year, specific assignments, and/or other situational demands. In the event that an overtime-exempt Academic Professional's workload is unusually high for some period of time, it is often appropriate to provide additional flexibility in order to balance out the Academic Professional's work commitment. In such cases, the Academic Professional must work in cooperation with the relevant supervisor to determine when and how such adjustments will be made. (For example, an employee's schedule in subsequent weeks could be adjusted; or, if the workload increases cyclically, there could be a subsequent decrease in work schedule.) This is not intended as an hour-for-hour adjustment, but rather as a mechanism to provide flexibility in an overtime-exempt Academic Professional’s work schedule in keeping with work-life balance ideals. It is not necessary for exempt employees to maintain complex records of hours worked.</w:t>
            </w:r>
          </w:p>
        </w:tc>
        <w:tc>
          <w:tcPr>
            <w:tcW w:w="1260" w:type="dxa"/>
          </w:tcPr>
          <w:p w14:paraId="700C034F" w14:textId="77777777" w:rsidR="00AB4C1D" w:rsidRPr="00E023E3" w:rsidRDefault="00AB4C1D" w:rsidP="00E023E3">
            <w:pPr>
              <w:rPr>
                <w:rFonts w:ascii="Times New Roman" w:hAnsi="Times New Roman" w:cs="Times New Roman"/>
                <w:sz w:val="20"/>
                <w:szCs w:val="20"/>
              </w:rPr>
            </w:pPr>
            <w:r w:rsidRPr="00E023E3">
              <w:rPr>
                <w:rFonts w:ascii="Times New Roman" w:hAnsi="Times New Roman" w:cs="Times New Roman"/>
                <w:sz w:val="20"/>
                <w:szCs w:val="20"/>
              </w:rPr>
              <w:t>Bylaws</w:t>
            </w:r>
          </w:p>
        </w:tc>
        <w:tc>
          <w:tcPr>
            <w:tcW w:w="5768" w:type="dxa"/>
          </w:tcPr>
          <w:p w14:paraId="17E7E8F6" w14:textId="5570EEF0" w:rsidR="00AB4C1D" w:rsidRPr="00E023E3" w:rsidRDefault="00AB4C1D" w:rsidP="00FC580A">
            <w:pPr>
              <w:rPr>
                <w:rFonts w:ascii="Times New Roman" w:hAnsi="Times New Roman" w:cs="Times New Roman"/>
                <w:sz w:val="20"/>
                <w:szCs w:val="20"/>
              </w:rPr>
            </w:pPr>
            <w:r w:rsidRPr="00E023E3">
              <w:rPr>
                <w:rFonts w:ascii="Times New Roman" w:hAnsi="Times New Roman" w:cs="Times New Roman"/>
                <w:sz w:val="20"/>
                <w:szCs w:val="20"/>
              </w:rPr>
              <w:t xml:space="preserve">Language that recognizes Academic Professional workload will flex around a 40 hour </w:t>
            </w:r>
            <w:r w:rsidR="00FC580A">
              <w:rPr>
                <w:rFonts w:ascii="Times New Roman" w:hAnsi="Times New Roman" w:cs="Times New Roman"/>
                <w:sz w:val="20"/>
                <w:szCs w:val="20"/>
              </w:rPr>
              <w:t>work week.</w:t>
            </w:r>
            <w:r w:rsidRPr="00E023E3">
              <w:rPr>
                <w:rFonts w:ascii="Times New Roman" w:hAnsi="Times New Roman" w:cs="Times New Roman"/>
                <w:sz w:val="20"/>
                <w:szCs w:val="20"/>
              </w:rPr>
              <w:t xml:space="preserve"> </w:t>
            </w:r>
          </w:p>
        </w:tc>
        <w:tc>
          <w:tcPr>
            <w:tcW w:w="3887" w:type="dxa"/>
            <w:shd w:val="clear" w:color="auto" w:fill="FF99FF"/>
          </w:tcPr>
          <w:p w14:paraId="688B62E6" w14:textId="77777777" w:rsidR="00FC580A" w:rsidRDefault="00AB4C1D" w:rsidP="004C0756">
            <w:pPr>
              <w:rPr>
                <w:rFonts w:ascii="Times New Roman" w:hAnsi="Times New Roman" w:cs="Times New Roman"/>
                <w:sz w:val="20"/>
                <w:szCs w:val="20"/>
              </w:rPr>
            </w:pPr>
            <w:r w:rsidRPr="00E023E3">
              <w:rPr>
                <w:rFonts w:ascii="Times New Roman" w:hAnsi="Times New Roman" w:cs="Times New Roman"/>
                <w:sz w:val="20"/>
                <w:szCs w:val="20"/>
              </w:rPr>
              <w:t>Add section in entirety:</w:t>
            </w:r>
          </w:p>
          <w:p w14:paraId="69C67554" w14:textId="7E2A2C00" w:rsidR="00AB4C1D" w:rsidRPr="00E023E3" w:rsidRDefault="00AB4C1D" w:rsidP="004D243F">
            <w:pPr>
              <w:rPr>
                <w:rFonts w:ascii="Times New Roman" w:hAnsi="Times New Roman" w:cs="Times New Roman"/>
                <w:sz w:val="20"/>
                <w:szCs w:val="20"/>
              </w:rPr>
            </w:pPr>
            <w:r w:rsidRPr="00E023E3">
              <w:rPr>
                <w:rFonts w:ascii="Times New Roman" w:hAnsi="Times New Roman" w:cs="Times New Roman"/>
                <w:sz w:val="20"/>
                <w:szCs w:val="20"/>
              </w:rPr>
              <w:br/>
              <w:t>"</w:t>
            </w:r>
            <w:r w:rsidRPr="00E023E3">
              <w:rPr>
                <w:rFonts w:ascii="Times New Roman" w:hAnsi="Times New Roman" w:cs="Times New Roman"/>
                <w:b/>
                <w:bCs/>
                <w:sz w:val="20"/>
                <w:szCs w:val="20"/>
              </w:rPr>
              <w:t xml:space="preserve">Academic Professional Workload and </w:t>
            </w:r>
            <w:proofErr w:type="spellStart"/>
            <w:r w:rsidRPr="00E023E3">
              <w:rPr>
                <w:rFonts w:ascii="Times New Roman" w:hAnsi="Times New Roman" w:cs="Times New Roman"/>
                <w:b/>
                <w:bCs/>
                <w:sz w:val="20"/>
                <w:szCs w:val="20"/>
              </w:rPr>
              <w:t>Worklife</w:t>
            </w:r>
            <w:proofErr w:type="spellEnd"/>
            <w:r w:rsidRPr="00E023E3">
              <w:rPr>
                <w:rFonts w:ascii="Times New Roman" w:hAnsi="Times New Roman" w:cs="Times New Roman"/>
                <w:b/>
                <w:bCs/>
                <w:sz w:val="20"/>
                <w:szCs w:val="20"/>
              </w:rPr>
              <w:t xml:space="preserve"> Balance</w:t>
            </w:r>
            <w:r w:rsidRPr="00E023E3">
              <w:rPr>
                <w:rFonts w:ascii="Times New Roman" w:hAnsi="Times New Roman" w:cs="Times New Roman"/>
                <w:b/>
                <w:bCs/>
                <w:sz w:val="20"/>
                <w:szCs w:val="20"/>
              </w:rPr>
              <w:br/>
            </w:r>
            <w:r w:rsidRPr="00E023E3">
              <w:rPr>
                <w:rFonts w:ascii="Times New Roman" w:hAnsi="Times New Roman" w:cs="Times New Roman"/>
                <w:sz w:val="20"/>
                <w:szCs w:val="20"/>
              </w:rPr>
              <w:t xml:space="preserve">Academic professionals that are overtime-exempt are expected to work approximately 2080 hours </w:t>
            </w:r>
            <w:r>
              <w:rPr>
                <w:rFonts w:ascii="Times New Roman" w:hAnsi="Times New Roman" w:cs="Times New Roman"/>
                <w:sz w:val="20"/>
                <w:szCs w:val="20"/>
              </w:rPr>
              <w:t xml:space="preserve">(which is approximately 40 hours per week) </w:t>
            </w:r>
            <w:r w:rsidRPr="00E023E3">
              <w:rPr>
                <w:rFonts w:ascii="Times New Roman" w:hAnsi="Times New Roman" w:cs="Times New Roman"/>
                <w:sz w:val="20"/>
                <w:szCs w:val="20"/>
              </w:rPr>
              <w:t>per year. Overtime exempt academic professionals have no expectation of receiving additional salary for hours that exceed this number. The amount of work may cycle with time of year, specific assignments, and/or other situational demands. In the event an overtime-exempt academic professional's workload is unusually high for some period of time the academic professional will be provided sufficient flexibility in order to balance out the academic professional's work commitment. The Department Chair and academic professional shall work together to determine when and how such adjustments will be made.  This is not intended as an hour-for-hour adjustment, but rather as a mechanism to provide flexibility in an overtime-exempt Academic Professional’s work schedule in keeping with work-life balance ideals. It is not necessary for exempt employees to maintain complex records of hours worked."</w:t>
            </w:r>
          </w:p>
        </w:tc>
      </w:tr>
      <w:tr w:rsidR="007561AE" w14:paraId="05C92A54" w14:textId="77777777" w:rsidTr="00D45DE4">
        <w:trPr>
          <w:trHeight w:val="3276"/>
        </w:trPr>
        <w:tc>
          <w:tcPr>
            <w:tcW w:w="1828" w:type="dxa"/>
            <w:vMerge w:val="restart"/>
          </w:tcPr>
          <w:p w14:paraId="1B9A4324" w14:textId="77777777" w:rsidR="007561AE" w:rsidRDefault="007561AE" w:rsidP="00D7138D">
            <w:pPr>
              <w:rPr>
                <w:rFonts w:ascii="Times New Roman" w:hAnsi="Times New Roman" w:cs="Times New Roman"/>
                <w:sz w:val="20"/>
                <w:szCs w:val="20"/>
              </w:rPr>
            </w:pPr>
            <w:r w:rsidRPr="00D7138D">
              <w:rPr>
                <w:rFonts w:ascii="Times New Roman" w:hAnsi="Times New Roman" w:cs="Times New Roman"/>
                <w:sz w:val="20"/>
                <w:szCs w:val="20"/>
              </w:rPr>
              <w:lastRenderedPageBreak/>
              <w:t>Non-Tenure Track Instructional and Research Faculty</w:t>
            </w:r>
            <w:r w:rsidRPr="00D7138D">
              <w:rPr>
                <w:rFonts w:ascii="Times New Roman" w:hAnsi="Times New Roman" w:cs="Times New Roman"/>
                <w:sz w:val="20"/>
                <w:szCs w:val="20"/>
              </w:rPr>
              <w:br/>
            </w:r>
            <w:r w:rsidRPr="00D7138D">
              <w:rPr>
                <w:rFonts w:ascii="Times New Roman" w:hAnsi="Times New Roman" w:cs="Times New Roman"/>
                <w:sz w:val="20"/>
                <w:szCs w:val="20"/>
              </w:rPr>
              <w:br/>
            </w:r>
            <w:r w:rsidRPr="00D7138D">
              <w:rPr>
                <w:rFonts w:ascii="Times New Roman" w:hAnsi="Times New Roman" w:cs="Times New Roman"/>
                <w:sz w:val="20"/>
                <w:szCs w:val="20"/>
              </w:rPr>
              <w:br/>
            </w:r>
            <w:r w:rsidRPr="00D7138D">
              <w:rPr>
                <w:rFonts w:ascii="Times New Roman" w:hAnsi="Times New Roman" w:cs="Times New Roman"/>
                <w:sz w:val="20"/>
                <w:szCs w:val="20"/>
              </w:rPr>
              <w:br/>
            </w:r>
            <w:r w:rsidRPr="00D7138D">
              <w:rPr>
                <w:rFonts w:ascii="Times New Roman" w:hAnsi="Times New Roman" w:cs="Times New Roman"/>
                <w:sz w:val="20"/>
                <w:szCs w:val="20"/>
              </w:rPr>
              <w:br/>
            </w:r>
            <w:r w:rsidRPr="00D7138D">
              <w:rPr>
                <w:rFonts w:ascii="Times New Roman" w:hAnsi="Times New Roman" w:cs="Times New Roman"/>
                <w:sz w:val="20"/>
                <w:szCs w:val="20"/>
              </w:rPr>
              <w:br/>
            </w:r>
            <w:r w:rsidRPr="00D7138D">
              <w:rPr>
                <w:rFonts w:ascii="Times New Roman" w:hAnsi="Times New Roman" w:cs="Times New Roman"/>
                <w:sz w:val="20"/>
                <w:szCs w:val="20"/>
              </w:rPr>
              <w:br/>
            </w:r>
          </w:p>
          <w:p w14:paraId="080E6F8F" w14:textId="77777777" w:rsidR="007561AE" w:rsidRDefault="007561AE" w:rsidP="00D7138D">
            <w:pPr>
              <w:rPr>
                <w:rFonts w:ascii="Times New Roman" w:hAnsi="Times New Roman" w:cs="Times New Roman"/>
                <w:sz w:val="20"/>
                <w:szCs w:val="20"/>
              </w:rPr>
            </w:pPr>
          </w:p>
          <w:p w14:paraId="2CDA6C42" w14:textId="77777777" w:rsidR="007561AE" w:rsidRDefault="007561AE" w:rsidP="00D7138D">
            <w:pPr>
              <w:rPr>
                <w:rFonts w:ascii="Times New Roman" w:hAnsi="Times New Roman" w:cs="Times New Roman"/>
                <w:sz w:val="20"/>
                <w:szCs w:val="20"/>
              </w:rPr>
            </w:pPr>
          </w:p>
          <w:p w14:paraId="5277F95D" w14:textId="77777777" w:rsidR="007561AE" w:rsidRDefault="007561AE" w:rsidP="00D7138D">
            <w:pPr>
              <w:rPr>
                <w:rFonts w:ascii="Times New Roman" w:hAnsi="Times New Roman" w:cs="Times New Roman"/>
                <w:sz w:val="20"/>
                <w:szCs w:val="20"/>
              </w:rPr>
            </w:pPr>
          </w:p>
          <w:p w14:paraId="5FA6595F" w14:textId="4F8397A0" w:rsidR="007561AE" w:rsidRDefault="007561AE" w:rsidP="00D7138D">
            <w:pPr>
              <w:rPr>
                <w:rFonts w:ascii="Times New Roman" w:hAnsi="Times New Roman" w:cs="Times New Roman"/>
                <w:sz w:val="20"/>
                <w:szCs w:val="20"/>
              </w:rPr>
            </w:pPr>
          </w:p>
          <w:p w14:paraId="065CC5F9" w14:textId="77777777" w:rsidR="007561AE" w:rsidRDefault="007561AE" w:rsidP="00D7138D">
            <w:pPr>
              <w:rPr>
                <w:rFonts w:ascii="Times New Roman" w:hAnsi="Times New Roman" w:cs="Times New Roman"/>
                <w:sz w:val="20"/>
                <w:szCs w:val="20"/>
              </w:rPr>
            </w:pPr>
          </w:p>
          <w:p w14:paraId="0BBF83A2" w14:textId="77777777" w:rsidR="007561AE" w:rsidRDefault="007561AE" w:rsidP="00D7138D">
            <w:pPr>
              <w:rPr>
                <w:rFonts w:ascii="Times New Roman" w:hAnsi="Times New Roman" w:cs="Times New Roman"/>
                <w:sz w:val="20"/>
                <w:szCs w:val="20"/>
              </w:rPr>
            </w:pPr>
          </w:p>
          <w:p w14:paraId="4D298377" w14:textId="77777777" w:rsidR="007561AE" w:rsidRDefault="007561AE" w:rsidP="00D7138D">
            <w:pPr>
              <w:rPr>
                <w:rFonts w:ascii="Times New Roman" w:hAnsi="Times New Roman" w:cs="Times New Roman"/>
                <w:sz w:val="20"/>
                <w:szCs w:val="20"/>
              </w:rPr>
            </w:pPr>
          </w:p>
          <w:p w14:paraId="5ACCE125" w14:textId="77777777" w:rsidR="007561AE" w:rsidRDefault="007561AE" w:rsidP="00D7138D">
            <w:pPr>
              <w:rPr>
                <w:rFonts w:ascii="Times New Roman" w:hAnsi="Times New Roman" w:cs="Times New Roman"/>
                <w:sz w:val="20"/>
                <w:szCs w:val="20"/>
              </w:rPr>
            </w:pPr>
          </w:p>
          <w:p w14:paraId="48FDBC5F" w14:textId="77777777" w:rsidR="007561AE" w:rsidRDefault="007561AE" w:rsidP="00D7138D">
            <w:pPr>
              <w:rPr>
                <w:rFonts w:ascii="Times New Roman" w:hAnsi="Times New Roman" w:cs="Times New Roman"/>
                <w:sz w:val="20"/>
                <w:szCs w:val="20"/>
              </w:rPr>
            </w:pPr>
          </w:p>
          <w:p w14:paraId="493056F6" w14:textId="77777777" w:rsidR="007561AE" w:rsidRDefault="007561AE" w:rsidP="00D7138D">
            <w:pPr>
              <w:rPr>
                <w:rFonts w:ascii="Times New Roman" w:hAnsi="Times New Roman" w:cs="Times New Roman"/>
                <w:sz w:val="20"/>
                <w:szCs w:val="20"/>
              </w:rPr>
            </w:pPr>
          </w:p>
          <w:p w14:paraId="4CA54D1D" w14:textId="77777777" w:rsidR="007561AE" w:rsidRPr="00D7138D" w:rsidRDefault="007561AE" w:rsidP="00D7138D">
            <w:pPr>
              <w:rPr>
                <w:rFonts w:ascii="Times New Roman" w:hAnsi="Times New Roman" w:cs="Times New Roman"/>
                <w:sz w:val="20"/>
                <w:szCs w:val="20"/>
              </w:rPr>
            </w:pPr>
            <w:r w:rsidRPr="00D7138D">
              <w:rPr>
                <w:rFonts w:ascii="Times New Roman" w:hAnsi="Times New Roman" w:cs="Times New Roman"/>
                <w:sz w:val="20"/>
                <w:szCs w:val="20"/>
              </w:rPr>
              <w:br/>
              <w:t>Developmental Review of Non-Tenure Track Instructional Faculty</w:t>
            </w:r>
          </w:p>
        </w:tc>
        <w:tc>
          <w:tcPr>
            <w:tcW w:w="939" w:type="dxa"/>
            <w:vMerge w:val="restart"/>
          </w:tcPr>
          <w:p w14:paraId="7C8C260D" w14:textId="77777777" w:rsidR="007561AE" w:rsidRDefault="007561AE" w:rsidP="00D7138D">
            <w:pPr>
              <w:rPr>
                <w:rFonts w:ascii="Times New Roman" w:hAnsi="Times New Roman" w:cs="Times New Roman"/>
                <w:sz w:val="20"/>
                <w:szCs w:val="20"/>
              </w:rPr>
            </w:pPr>
            <w:r>
              <w:rPr>
                <w:rFonts w:ascii="Times New Roman" w:hAnsi="Times New Roman" w:cs="Times New Roman"/>
                <w:sz w:val="20"/>
                <w:szCs w:val="20"/>
              </w:rPr>
              <w:t>18.</w:t>
            </w:r>
            <w:r w:rsidRPr="00D7138D">
              <w:rPr>
                <w:rFonts w:ascii="Times New Roman" w:hAnsi="Times New Roman" w:cs="Times New Roman"/>
                <w:sz w:val="20"/>
                <w:szCs w:val="20"/>
              </w:rPr>
              <w:t>6</w:t>
            </w:r>
            <w:r w:rsidRPr="00D7138D">
              <w:rPr>
                <w:rFonts w:ascii="Times New Roman" w:hAnsi="Times New Roman" w:cs="Times New Roman"/>
                <w:sz w:val="20"/>
                <w:szCs w:val="20"/>
              </w:rPr>
              <w:br/>
            </w:r>
            <w:r w:rsidRPr="00D7138D">
              <w:rPr>
                <w:rFonts w:ascii="Times New Roman" w:hAnsi="Times New Roman" w:cs="Times New Roman"/>
                <w:sz w:val="20"/>
                <w:szCs w:val="20"/>
              </w:rPr>
              <w:br/>
            </w:r>
            <w:r w:rsidRPr="00D7138D">
              <w:rPr>
                <w:rFonts w:ascii="Times New Roman" w:hAnsi="Times New Roman" w:cs="Times New Roman"/>
                <w:sz w:val="20"/>
                <w:szCs w:val="20"/>
              </w:rPr>
              <w:br/>
            </w:r>
            <w:r w:rsidRPr="00D7138D">
              <w:rPr>
                <w:rFonts w:ascii="Times New Roman" w:hAnsi="Times New Roman" w:cs="Times New Roman"/>
                <w:sz w:val="20"/>
                <w:szCs w:val="20"/>
              </w:rPr>
              <w:br/>
            </w:r>
            <w:r w:rsidRPr="00D7138D">
              <w:rPr>
                <w:rFonts w:ascii="Times New Roman" w:hAnsi="Times New Roman" w:cs="Times New Roman"/>
                <w:sz w:val="20"/>
                <w:szCs w:val="20"/>
              </w:rPr>
              <w:br/>
            </w:r>
            <w:r w:rsidRPr="00D7138D">
              <w:rPr>
                <w:rFonts w:ascii="Times New Roman" w:hAnsi="Times New Roman" w:cs="Times New Roman"/>
                <w:sz w:val="20"/>
                <w:szCs w:val="20"/>
              </w:rPr>
              <w:br/>
            </w:r>
            <w:r w:rsidRPr="00D7138D">
              <w:rPr>
                <w:rFonts w:ascii="Times New Roman" w:hAnsi="Times New Roman" w:cs="Times New Roman"/>
                <w:sz w:val="20"/>
                <w:szCs w:val="20"/>
              </w:rPr>
              <w:br/>
            </w:r>
            <w:r w:rsidRPr="00D7138D">
              <w:rPr>
                <w:rFonts w:ascii="Times New Roman" w:hAnsi="Times New Roman" w:cs="Times New Roman"/>
                <w:sz w:val="20"/>
                <w:szCs w:val="20"/>
              </w:rPr>
              <w:br/>
            </w:r>
            <w:r w:rsidRPr="00D7138D">
              <w:rPr>
                <w:rFonts w:ascii="Times New Roman" w:hAnsi="Times New Roman" w:cs="Times New Roman"/>
                <w:sz w:val="20"/>
                <w:szCs w:val="20"/>
              </w:rPr>
              <w:br/>
            </w:r>
          </w:p>
          <w:p w14:paraId="279CBCBB" w14:textId="77777777" w:rsidR="007561AE" w:rsidRDefault="007561AE" w:rsidP="00D7138D">
            <w:pPr>
              <w:rPr>
                <w:rFonts w:ascii="Times New Roman" w:hAnsi="Times New Roman" w:cs="Times New Roman"/>
                <w:sz w:val="20"/>
                <w:szCs w:val="20"/>
              </w:rPr>
            </w:pPr>
          </w:p>
          <w:p w14:paraId="43011D16" w14:textId="77777777" w:rsidR="007561AE" w:rsidRDefault="007561AE" w:rsidP="00D7138D">
            <w:pPr>
              <w:rPr>
                <w:rFonts w:ascii="Times New Roman" w:hAnsi="Times New Roman" w:cs="Times New Roman"/>
                <w:sz w:val="20"/>
                <w:szCs w:val="20"/>
              </w:rPr>
            </w:pPr>
          </w:p>
          <w:p w14:paraId="1CC5B5F4" w14:textId="77777777" w:rsidR="007561AE" w:rsidRDefault="007561AE" w:rsidP="00D7138D">
            <w:pPr>
              <w:rPr>
                <w:rFonts w:ascii="Times New Roman" w:hAnsi="Times New Roman" w:cs="Times New Roman"/>
                <w:sz w:val="20"/>
                <w:szCs w:val="20"/>
              </w:rPr>
            </w:pPr>
          </w:p>
          <w:p w14:paraId="67E206C3" w14:textId="77777777" w:rsidR="007561AE" w:rsidRDefault="007561AE" w:rsidP="00D7138D">
            <w:pPr>
              <w:rPr>
                <w:rFonts w:ascii="Times New Roman" w:hAnsi="Times New Roman" w:cs="Times New Roman"/>
                <w:sz w:val="20"/>
                <w:szCs w:val="20"/>
              </w:rPr>
            </w:pPr>
          </w:p>
          <w:p w14:paraId="652A5EB9" w14:textId="77777777" w:rsidR="007561AE" w:rsidRDefault="007561AE" w:rsidP="00D7138D">
            <w:pPr>
              <w:rPr>
                <w:rFonts w:ascii="Times New Roman" w:hAnsi="Times New Roman" w:cs="Times New Roman"/>
                <w:sz w:val="20"/>
                <w:szCs w:val="20"/>
              </w:rPr>
            </w:pPr>
          </w:p>
          <w:p w14:paraId="2580D106" w14:textId="77777777" w:rsidR="007561AE" w:rsidRDefault="007561AE" w:rsidP="00D7138D">
            <w:pPr>
              <w:rPr>
                <w:rFonts w:ascii="Times New Roman" w:hAnsi="Times New Roman" w:cs="Times New Roman"/>
                <w:sz w:val="20"/>
                <w:szCs w:val="20"/>
              </w:rPr>
            </w:pPr>
          </w:p>
          <w:p w14:paraId="00E6382A" w14:textId="77777777" w:rsidR="007561AE" w:rsidRDefault="007561AE" w:rsidP="00D7138D">
            <w:pPr>
              <w:rPr>
                <w:rFonts w:ascii="Times New Roman" w:hAnsi="Times New Roman" w:cs="Times New Roman"/>
                <w:sz w:val="20"/>
                <w:szCs w:val="20"/>
              </w:rPr>
            </w:pPr>
          </w:p>
          <w:p w14:paraId="302383B3" w14:textId="77777777" w:rsidR="007561AE" w:rsidRDefault="007561AE" w:rsidP="00D7138D">
            <w:pPr>
              <w:rPr>
                <w:rFonts w:ascii="Times New Roman" w:hAnsi="Times New Roman" w:cs="Times New Roman"/>
                <w:sz w:val="20"/>
                <w:szCs w:val="20"/>
              </w:rPr>
            </w:pPr>
          </w:p>
          <w:p w14:paraId="3B512F6A" w14:textId="77777777" w:rsidR="007561AE" w:rsidRDefault="007561AE" w:rsidP="00D7138D">
            <w:pPr>
              <w:rPr>
                <w:rFonts w:ascii="Times New Roman" w:hAnsi="Times New Roman" w:cs="Times New Roman"/>
                <w:sz w:val="20"/>
                <w:szCs w:val="20"/>
              </w:rPr>
            </w:pPr>
          </w:p>
          <w:p w14:paraId="3494BC04" w14:textId="77777777" w:rsidR="007561AE" w:rsidRDefault="007561AE" w:rsidP="00D7138D">
            <w:pPr>
              <w:rPr>
                <w:rFonts w:ascii="Times New Roman" w:hAnsi="Times New Roman" w:cs="Times New Roman"/>
                <w:sz w:val="20"/>
                <w:szCs w:val="20"/>
              </w:rPr>
            </w:pPr>
          </w:p>
          <w:p w14:paraId="59DFA9A5" w14:textId="77777777" w:rsidR="007561AE" w:rsidRPr="00D7138D" w:rsidRDefault="007561AE" w:rsidP="00D7138D">
            <w:pPr>
              <w:rPr>
                <w:rFonts w:ascii="Times New Roman" w:hAnsi="Times New Roman" w:cs="Times New Roman"/>
                <w:sz w:val="20"/>
                <w:szCs w:val="20"/>
              </w:rPr>
            </w:pPr>
            <w:r w:rsidRPr="00D7138D">
              <w:rPr>
                <w:rFonts w:ascii="Times New Roman" w:hAnsi="Times New Roman" w:cs="Times New Roman"/>
                <w:sz w:val="20"/>
                <w:szCs w:val="20"/>
              </w:rPr>
              <w:br/>
              <w:t>LOA #5</w:t>
            </w:r>
          </w:p>
        </w:tc>
        <w:tc>
          <w:tcPr>
            <w:tcW w:w="528" w:type="dxa"/>
            <w:vMerge w:val="restart"/>
          </w:tcPr>
          <w:p w14:paraId="747C104E" w14:textId="77777777" w:rsidR="007561AE" w:rsidRDefault="007561AE" w:rsidP="00D7138D">
            <w:pPr>
              <w:rPr>
                <w:rFonts w:ascii="Times New Roman" w:hAnsi="Times New Roman" w:cs="Times New Roman"/>
                <w:sz w:val="20"/>
                <w:szCs w:val="20"/>
              </w:rPr>
            </w:pPr>
            <w:r w:rsidRPr="00D7138D">
              <w:rPr>
                <w:rFonts w:ascii="Times New Roman" w:hAnsi="Times New Roman" w:cs="Times New Roman"/>
                <w:sz w:val="20"/>
                <w:szCs w:val="20"/>
              </w:rPr>
              <w:t>26</w:t>
            </w:r>
            <w:r w:rsidRPr="00D7138D">
              <w:rPr>
                <w:rFonts w:ascii="Times New Roman" w:hAnsi="Times New Roman" w:cs="Times New Roman"/>
                <w:sz w:val="20"/>
                <w:szCs w:val="20"/>
              </w:rPr>
              <w:br/>
            </w:r>
            <w:r w:rsidRPr="00D7138D">
              <w:rPr>
                <w:rFonts w:ascii="Times New Roman" w:hAnsi="Times New Roman" w:cs="Times New Roman"/>
                <w:sz w:val="20"/>
                <w:szCs w:val="20"/>
              </w:rPr>
              <w:br/>
            </w:r>
            <w:r w:rsidRPr="00D7138D">
              <w:rPr>
                <w:rFonts w:ascii="Times New Roman" w:hAnsi="Times New Roman" w:cs="Times New Roman"/>
                <w:sz w:val="20"/>
                <w:szCs w:val="20"/>
              </w:rPr>
              <w:br/>
            </w:r>
            <w:r w:rsidRPr="00D7138D">
              <w:rPr>
                <w:rFonts w:ascii="Times New Roman" w:hAnsi="Times New Roman" w:cs="Times New Roman"/>
                <w:sz w:val="20"/>
                <w:szCs w:val="20"/>
              </w:rPr>
              <w:br/>
            </w:r>
            <w:r w:rsidRPr="00D7138D">
              <w:rPr>
                <w:rFonts w:ascii="Times New Roman" w:hAnsi="Times New Roman" w:cs="Times New Roman"/>
                <w:sz w:val="20"/>
                <w:szCs w:val="20"/>
              </w:rPr>
              <w:br/>
            </w:r>
            <w:r w:rsidRPr="00D7138D">
              <w:rPr>
                <w:rFonts w:ascii="Times New Roman" w:hAnsi="Times New Roman" w:cs="Times New Roman"/>
                <w:sz w:val="20"/>
                <w:szCs w:val="20"/>
              </w:rPr>
              <w:br/>
            </w:r>
            <w:r w:rsidRPr="00D7138D">
              <w:rPr>
                <w:rFonts w:ascii="Times New Roman" w:hAnsi="Times New Roman" w:cs="Times New Roman"/>
                <w:sz w:val="20"/>
                <w:szCs w:val="20"/>
              </w:rPr>
              <w:br/>
            </w:r>
            <w:r w:rsidRPr="00D7138D">
              <w:rPr>
                <w:rFonts w:ascii="Times New Roman" w:hAnsi="Times New Roman" w:cs="Times New Roman"/>
                <w:sz w:val="20"/>
                <w:szCs w:val="20"/>
              </w:rPr>
              <w:br/>
            </w:r>
          </w:p>
          <w:p w14:paraId="568A79B8" w14:textId="77777777" w:rsidR="007561AE" w:rsidRDefault="007561AE" w:rsidP="00D7138D">
            <w:pPr>
              <w:rPr>
                <w:rFonts w:ascii="Times New Roman" w:hAnsi="Times New Roman" w:cs="Times New Roman"/>
                <w:sz w:val="20"/>
                <w:szCs w:val="20"/>
              </w:rPr>
            </w:pPr>
          </w:p>
          <w:p w14:paraId="196C6B93" w14:textId="77777777" w:rsidR="007561AE" w:rsidRDefault="007561AE" w:rsidP="00D7138D">
            <w:pPr>
              <w:rPr>
                <w:rFonts w:ascii="Times New Roman" w:hAnsi="Times New Roman" w:cs="Times New Roman"/>
                <w:sz w:val="20"/>
                <w:szCs w:val="20"/>
              </w:rPr>
            </w:pPr>
          </w:p>
          <w:p w14:paraId="6F67B72C" w14:textId="77777777" w:rsidR="007561AE" w:rsidRDefault="007561AE" w:rsidP="00D7138D">
            <w:pPr>
              <w:rPr>
                <w:rFonts w:ascii="Times New Roman" w:hAnsi="Times New Roman" w:cs="Times New Roman"/>
                <w:sz w:val="20"/>
                <w:szCs w:val="20"/>
              </w:rPr>
            </w:pPr>
          </w:p>
          <w:p w14:paraId="78EB0BD7" w14:textId="77777777" w:rsidR="007561AE" w:rsidRDefault="007561AE" w:rsidP="00D7138D">
            <w:pPr>
              <w:rPr>
                <w:rFonts w:ascii="Times New Roman" w:hAnsi="Times New Roman" w:cs="Times New Roman"/>
                <w:sz w:val="20"/>
                <w:szCs w:val="20"/>
              </w:rPr>
            </w:pPr>
          </w:p>
          <w:p w14:paraId="6C3236DB" w14:textId="77777777" w:rsidR="007561AE" w:rsidRDefault="007561AE" w:rsidP="00D7138D">
            <w:pPr>
              <w:rPr>
                <w:rFonts w:ascii="Times New Roman" w:hAnsi="Times New Roman" w:cs="Times New Roman"/>
                <w:sz w:val="20"/>
                <w:szCs w:val="20"/>
              </w:rPr>
            </w:pPr>
          </w:p>
          <w:p w14:paraId="5D6F6438" w14:textId="77777777" w:rsidR="007561AE" w:rsidRDefault="007561AE" w:rsidP="00D7138D">
            <w:pPr>
              <w:rPr>
                <w:rFonts w:ascii="Times New Roman" w:hAnsi="Times New Roman" w:cs="Times New Roman"/>
                <w:sz w:val="20"/>
                <w:szCs w:val="20"/>
              </w:rPr>
            </w:pPr>
          </w:p>
          <w:p w14:paraId="1564B181" w14:textId="77777777" w:rsidR="007561AE" w:rsidRDefault="007561AE" w:rsidP="00D7138D">
            <w:pPr>
              <w:rPr>
                <w:rFonts w:ascii="Times New Roman" w:hAnsi="Times New Roman" w:cs="Times New Roman"/>
                <w:sz w:val="20"/>
                <w:szCs w:val="20"/>
              </w:rPr>
            </w:pPr>
          </w:p>
          <w:p w14:paraId="5D80443D" w14:textId="77777777" w:rsidR="007561AE" w:rsidRDefault="007561AE" w:rsidP="00D7138D">
            <w:pPr>
              <w:rPr>
                <w:rFonts w:ascii="Times New Roman" w:hAnsi="Times New Roman" w:cs="Times New Roman"/>
                <w:sz w:val="20"/>
                <w:szCs w:val="20"/>
              </w:rPr>
            </w:pPr>
          </w:p>
          <w:p w14:paraId="1B055011" w14:textId="77777777" w:rsidR="007561AE" w:rsidRDefault="007561AE" w:rsidP="00D7138D">
            <w:pPr>
              <w:rPr>
                <w:rFonts w:ascii="Times New Roman" w:hAnsi="Times New Roman" w:cs="Times New Roman"/>
                <w:sz w:val="20"/>
                <w:szCs w:val="20"/>
              </w:rPr>
            </w:pPr>
          </w:p>
          <w:p w14:paraId="55B620A7" w14:textId="77777777" w:rsidR="007561AE" w:rsidRDefault="007561AE" w:rsidP="00D7138D">
            <w:pPr>
              <w:rPr>
                <w:rFonts w:ascii="Times New Roman" w:hAnsi="Times New Roman" w:cs="Times New Roman"/>
                <w:sz w:val="20"/>
                <w:szCs w:val="20"/>
              </w:rPr>
            </w:pPr>
          </w:p>
          <w:p w14:paraId="470F9197" w14:textId="77777777" w:rsidR="007561AE" w:rsidRDefault="007561AE" w:rsidP="00D7138D">
            <w:pPr>
              <w:rPr>
                <w:rFonts w:ascii="Times New Roman" w:hAnsi="Times New Roman" w:cs="Times New Roman"/>
                <w:sz w:val="20"/>
                <w:szCs w:val="20"/>
              </w:rPr>
            </w:pPr>
          </w:p>
          <w:p w14:paraId="52FA70B0" w14:textId="77777777" w:rsidR="007561AE" w:rsidRPr="00D7138D" w:rsidRDefault="007561AE" w:rsidP="00D7138D">
            <w:pPr>
              <w:rPr>
                <w:rFonts w:ascii="Times New Roman" w:hAnsi="Times New Roman" w:cs="Times New Roman"/>
                <w:sz w:val="20"/>
                <w:szCs w:val="20"/>
              </w:rPr>
            </w:pPr>
            <w:r w:rsidRPr="00D7138D">
              <w:rPr>
                <w:rFonts w:ascii="Times New Roman" w:hAnsi="Times New Roman" w:cs="Times New Roman"/>
                <w:sz w:val="20"/>
                <w:szCs w:val="20"/>
              </w:rPr>
              <w:br/>
              <w:t>73</w:t>
            </w:r>
          </w:p>
        </w:tc>
        <w:tc>
          <w:tcPr>
            <w:tcW w:w="3545" w:type="dxa"/>
            <w:vMerge w:val="restart"/>
          </w:tcPr>
          <w:p w14:paraId="2CFB31F0" w14:textId="77777777" w:rsidR="007561AE" w:rsidRDefault="007561AE" w:rsidP="00B44FE4">
            <w:pPr>
              <w:rPr>
                <w:rFonts w:ascii="Times New Roman" w:hAnsi="Times New Roman" w:cs="Times New Roman"/>
                <w:sz w:val="20"/>
                <w:szCs w:val="20"/>
              </w:rPr>
            </w:pPr>
            <w:r w:rsidRPr="00D7138D">
              <w:rPr>
                <w:rFonts w:ascii="Times New Roman" w:hAnsi="Times New Roman" w:cs="Times New Roman"/>
                <w:sz w:val="20"/>
                <w:szCs w:val="20"/>
              </w:rPr>
              <w:t xml:space="preserve">(a) The Faculty Senate is responsible for the development of guidelines governing the evaluation of non-tenure track faculty, including evaluations that occur prior to, at the time of, and following continuous appointment. </w:t>
            </w:r>
            <w:r w:rsidRPr="00D7138D">
              <w:rPr>
                <w:rFonts w:ascii="Times New Roman" w:hAnsi="Times New Roman" w:cs="Times New Roman"/>
                <w:b/>
                <w:bCs/>
                <w:sz w:val="20"/>
                <w:szCs w:val="20"/>
              </w:rPr>
              <w:t>Each Department/Academic Unit shall establish and maintain guidelines for review of non-tenure track instructional bargaining unit members that are consistent with guidelines developed by the Faculty Senate.</w:t>
            </w:r>
            <w:r w:rsidRPr="00D7138D">
              <w:rPr>
                <w:rFonts w:ascii="Times New Roman" w:hAnsi="Times New Roman" w:cs="Times New Roman"/>
                <w:sz w:val="20"/>
                <w:szCs w:val="20"/>
              </w:rPr>
              <w:t xml:space="preserve"> Nothing in this provision affects or alters the Association’s ability to file a grievance, as provided in Article 28 that alleges a </w:t>
            </w:r>
            <w:r>
              <w:rPr>
                <w:rFonts w:ascii="Times New Roman" w:hAnsi="Times New Roman" w:cs="Times New Roman"/>
                <w:sz w:val="20"/>
                <w:szCs w:val="20"/>
              </w:rPr>
              <w:t>violation of such guidelines.</w:t>
            </w:r>
            <w:r>
              <w:rPr>
                <w:rFonts w:ascii="Times New Roman" w:hAnsi="Times New Roman" w:cs="Times New Roman"/>
                <w:sz w:val="20"/>
                <w:szCs w:val="20"/>
              </w:rPr>
              <w:br/>
            </w:r>
          </w:p>
          <w:p w14:paraId="32302757" w14:textId="77777777" w:rsidR="007561AE" w:rsidRDefault="007561AE" w:rsidP="00B44FE4">
            <w:pPr>
              <w:rPr>
                <w:rFonts w:ascii="Times New Roman" w:hAnsi="Times New Roman" w:cs="Times New Roman"/>
                <w:sz w:val="20"/>
                <w:szCs w:val="20"/>
              </w:rPr>
            </w:pPr>
          </w:p>
          <w:p w14:paraId="6539D606" w14:textId="77777777" w:rsidR="007561AE" w:rsidRDefault="007561AE" w:rsidP="00B44FE4">
            <w:pPr>
              <w:rPr>
                <w:rFonts w:ascii="Times New Roman" w:hAnsi="Times New Roman" w:cs="Times New Roman"/>
                <w:sz w:val="20"/>
                <w:szCs w:val="20"/>
              </w:rPr>
            </w:pPr>
          </w:p>
          <w:p w14:paraId="76D49DC9" w14:textId="77777777" w:rsidR="007561AE" w:rsidRDefault="007561AE" w:rsidP="00B44FE4">
            <w:pPr>
              <w:rPr>
                <w:rFonts w:ascii="Times New Roman" w:hAnsi="Times New Roman" w:cs="Times New Roman"/>
                <w:sz w:val="20"/>
                <w:szCs w:val="20"/>
              </w:rPr>
            </w:pPr>
          </w:p>
          <w:p w14:paraId="6CC1ED12" w14:textId="3BB7812E" w:rsidR="007561AE" w:rsidRPr="00D7138D" w:rsidRDefault="007561AE" w:rsidP="00B44FE4">
            <w:pPr>
              <w:rPr>
                <w:rFonts w:ascii="Times New Roman" w:hAnsi="Times New Roman" w:cs="Times New Roman"/>
                <w:sz w:val="20"/>
                <w:szCs w:val="20"/>
              </w:rPr>
            </w:pPr>
            <w:r>
              <w:rPr>
                <w:rFonts w:ascii="Times New Roman" w:hAnsi="Times New Roman" w:cs="Times New Roman"/>
                <w:sz w:val="20"/>
                <w:szCs w:val="20"/>
              </w:rPr>
              <w:br/>
            </w:r>
            <w:r w:rsidRPr="00D7138D">
              <w:rPr>
                <w:rFonts w:ascii="Times New Roman" w:hAnsi="Times New Roman" w:cs="Times New Roman"/>
                <w:sz w:val="20"/>
                <w:szCs w:val="20"/>
              </w:rPr>
              <w:t>• Developmental reviews will follow clear</w:t>
            </w:r>
            <w:r w:rsidRPr="00D7138D">
              <w:rPr>
                <w:rFonts w:ascii="Times New Roman" w:hAnsi="Times New Roman" w:cs="Times New Roman"/>
                <w:b/>
                <w:bCs/>
                <w:sz w:val="20"/>
                <w:szCs w:val="20"/>
              </w:rPr>
              <w:t xml:space="preserve"> guidelines developed by departments in accordance with University</w:t>
            </w:r>
            <w:r w:rsidRPr="00D7138D">
              <w:rPr>
                <w:rFonts w:ascii="Times New Roman" w:hAnsi="Times New Roman" w:cs="Times New Roman"/>
                <w:sz w:val="20"/>
                <w:szCs w:val="20"/>
              </w:rPr>
              <w:t xml:space="preserve"> Promotion and Tenure Guidelines.</w:t>
            </w:r>
            <w:r w:rsidRPr="00D7138D">
              <w:rPr>
                <w:rFonts w:ascii="Times New Roman" w:hAnsi="Times New Roman" w:cs="Times New Roman"/>
                <w:sz w:val="20"/>
                <w:szCs w:val="20"/>
              </w:rPr>
              <w:br/>
            </w:r>
            <w:r w:rsidRPr="00D7138D">
              <w:rPr>
                <w:rFonts w:ascii="Times New Roman" w:hAnsi="Times New Roman" w:cs="Times New Roman"/>
                <w:sz w:val="20"/>
                <w:szCs w:val="20"/>
              </w:rPr>
              <w:br/>
              <w:t xml:space="preserve">• </w:t>
            </w:r>
            <w:r w:rsidRPr="00D7138D">
              <w:rPr>
                <w:rFonts w:ascii="Times New Roman" w:hAnsi="Times New Roman" w:cs="Times New Roman"/>
                <w:b/>
                <w:bCs/>
                <w:sz w:val="20"/>
                <w:szCs w:val="20"/>
              </w:rPr>
              <w:t>Review for continuous appointment will be implemented consistently and follow clear guidelines developed by departments</w:t>
            </w:r>
            <w:r w:rsidRPr="00D7138D">
              <w:rPr>
                <w:rFonts w:ascii="Times New Roman" w:hAnsi="Times New Roman" w:cs="Times New Roman"/>
                <w:sz w:val="20"/>
                <w:szCs w:val="20"/>
              </w:rPr>
              <w:t xml:space="preserve"> in accordance with university Promotion and Tenure Guidelines. </w:t>
            </w:r>
          </w:p>
        </w:tc>
        <w:tc>
          <w:tcPr>
            <w:tcW w:w="1260" w:type="dxa"/>
            <w:vMerge w:val="restart"/>
          </w:tcPr>
          <w:p w14:paraId="1CC6CCAD" w14:textId="77777777" w:rsidR="007561AE" w:rsidRDefault="007561AE" w:rsidP="00D7138D">
            <w:pPr>
              <w:rPr>
                <w:rFonts w:ascii="Times New Roman" w:hAnsi="Times New Roman" w:cs="Times New Roman"/>
                <w:sz w:val="20"/>
                <w:szCs w:val="20"/>
              </w:rPr>
            </w:pPr>
            <w:r w:rsidRPr="00D7138D">
              <w:rPr>
                <w:rFonts w:ascii="Times New Roman" w:hAnsi="Times New Roman" w:cs="Times New Roman"/>
                <w:sz w:val="20"/>
                <w:szCs w:val="20"/>
              </w:rPr>
              <w:t xml:space="preserve"> P&amp;T Guidelines</w:t>
            </w:r>
          </w:p>
          <w:p w14:paraId="11A6CDA3" w14:textId="77777777" w:rsidR="007561AE" w:rsidRDefault="007561AE" w:rsidP="00D7138D">
            <w:pPr>
              <w:rPr>
                <w:rFonts w:ascii="Times New Roman" w:hAnsi="Times New Roman" w:cs="Times New Roman"/>
                <w:sz w:val="20"/>
                <w:szCs w:val="20"/>
              </w:rPr>
            </w:pPr>
          </w:p>
          <w:p w14:paraId="472B8FF3" w14:textId="77777777" w:rsidR="007561AE" w:rsidRDefault="007561AE" w:rsidP="00D7138D">
            <w:pPr>
              <w:rPr>
                <w:rFonts w:ascii="Times New Roman" w:hAnsi="Times New Roman" w:cs="Times New Roman"/>
                <w:sz w:val="20"/>
                <w:szCs w:val="20"/>
              </w:rPr>
            </w:pPr>
          </w:p>
          <w:p w14:paraId="6D3E3DC8" w14:textId="77777777" w:rsidR="007561AE" w:rsidRDefault="007561AE" w:rsidP="00D7138D">
            <w:pPr>
              <w:rPr>
                <w:rFonts w:ascii="Times New Roman" w:hAnsi="Times New Roman" w:cs="Times New Roman"/>
                <w:sz w:val="20"/>
                <w:szCs w:val="20"/>
              </w:rPr>
            </w:pPr>
          </w:p>
          <w:p w14:paraId="07D52010" w14:textId="77777777" w:rsidR="007561AE" w:rsidRDefault="007561AE" w:rsidP="00D7138D">
            <w:pPr>
              <w:rPr>
                <w:rFonts w:ascii="Times New Roman" w:hAnsi="Times New Roman" w:cs="Times New Roman"/>
                <w:sz w:val="20"/>
                <w:szCs w:val="20"/>
              </w:rPr>
            </w:pPr>
          </w:p>
          <w:p w14:paraId="163BC9C6" w14:textId="77777777" w:rsidR="007561AE" w:rsidRDefault="007561AE" w:rsidP="00D7138D">
            <w:pPr>
              <w:rPr>
                <w:rFonts w:ascii="Times New Roman" w:hAnsi="Times New Roman" w:cs="Times New Roman"/>
                <w:sz w:val="20"/>
                <w:szCs w:val="20"/>
              </w:rPr>
            </w:pPr>
          </w:p>
          <w:p w14:paraId="0EB8811B" w14:textId="77777777" w:rsidR="007561AE" w:rsidRDefault="007561AE" w:rsidP="00D7138D">
            <w:pPr>
              <w:rPr>
                <w:rFonts w:ascii="Times New Roman" w:hAnsi="Times New Roman" w:cs="Times New Roman"/>
                <w:sz w:val="20"/>
                <w:szCs w:val="20"/>
              </w:rPr>
            </w:pPr>
          </w:p>
          <w:p w14:paraId="573DA9EC" w14:textId="77777777" w:rsidR="007561AE" w:rsidRDefault="007561AE" w:rsidP="00D7138D">
            <w:pPr>
              <w:rPr>
                <w:rFonts w:ascii="Times New Roman" w:hAnsi="Times New Roman" w:cs="Times New Roman"/>
                <w:sz w:val="20"/>
                <w:szCs w:val="20"/>
              </w:rPr>
            </w:pPr>
          </w:p>
          <w:p w14:paraId="73AC96A7" w14:textId="77777777" w:rsidR="007561AE" w:rsidRDefault="007561AE" w:rsidP="00D7138D">
            <w:pPr>
              <w:rPr>
                <w:rFonts w:ascii="Times New Roman" w:hAnsi="Times New Roman" w:cs="Times New Roman"/>
                <w:sz w:val="20"/>
                <w:szCs w:val="20"/>
              </w:rPr>
            </w:pPr>
          </w:p>
          <w:p w14:paraId="3F1C6F4B" w14:textId="77777777" w:rsidR="007561AE" w:rsidRDefault="007561AE" w:rsidP="00D7138D">
            <w:pPr>
              <w:rPr>
                <w:rFonts w:ascii="Times New Roman" w:hAnsi="Times New Roman" w:cs="Times New Roman"/>
                <w:sz w:val="20"/>
                <w:szCs w:val="20"/>
              </w:rPr>
            </w:pPr>
          </w:p>
          <w:p w14:paraId="40E65601" w14:textId="77777777" w:rsidR="007561AE" w:rsidRDefault="007561AE" w:rsidP="00D7138D">
            <w:pPr>
              <w:rPr>
                <w:rFonts w:ascii="Times New Roman" w:hAnsi="Times New Roman" w:cs="Times New Roman"/>
                <w:sz w:val="20"/>
                <w:szCs w:val="20"/>
              </w:rPr>
            </w:pPr>
          </w:p>
          <w:p w14:paraId="5F7E4252" w14:textId="77777777" w:rsidR="007561AE" w:rsidRDefault="007561AE" w:rsidP="00D7138D">
            <w:pPr>
              <w:rPr>
                <w:rFonts w:ascii="Times New Roman" w:hAnsi="Times New Roman" w:cs="Times New Roman"/>
                <w:sz w:val="20"/>
                <w:szCs w:val="20"/>
              </w:rPr>
            </w:pPr>
          </w:p>
          <w:p w14:paraId="09C33B74" w14:textId="77777777" w:rsidR="007561AE" w:rsidRDefault="007561AE" w:rsidP="00D7138D">
            <w:pPr>
              <w:rPr>
                <w:rFonts w:ascii="Times New Roman" w:hAnsi="Times New Roman" w:cs="Times New Roman"/>
                <w:sz w:val="20"/>
                <w:szCs w:val="20"/>
              </w:rPr>
            </w:pPr>
          </w:p>
          <w:p w14:paraId="21CC87B1" w14:textId="77777777" w:rsidR="007561AE" w:rsidRDefault="007561AE" w:rsidP="00D7138D">
            <w:pPr>
              <w:rPr>
                <w:rFonts w:ascii="Times New Roman" w:hAnsi="Times New Roman" w:cs="Times New Roman"/>
                <w:sz w:val="20"/>
                <w:szCs w:val="20"/>
              </w:rPr>
            </w:pPr>
          </w:p>
          <w:p w14:paraId="3E7E4DC5" w14:textId="77777777" w:rsidR="007561AE" w:rsidRDefault="007561AE" w:rsidP="00D7138D">
            <w:pPr>
              <w:rPr>
                <w:rFonts w:ascii="Times New Roman" w:hAnsi="Times New Roman" w:cs="Times New Roman"/>
                <w:sz w:val="20"/>
                <w:szCs w:val="20"/>
              </w:rPr>
            </w:pPr>
          </w:p>
          <w:p w14:paraId="09D7ADB8" w14:textId="77777777" w:rsidR="007561AE" w:rsidRDefault="007561AE" w:rsidP="00D7138D">
            <w:pPr>
              <w:rPr>
                <w:rFonts w:ascii="Times New Roman" w:hAnsi="Times New Roman" w:cs="Times New Roman"/>
                <w:sz w:val="20"/>
                <w:szCs w:val="20"/>
              </w:rPr>
            </w:pPr>
          </w:p>
          <w:p w14:paraId="0E7A4873" w14:textId="77777777" w:rsidR="007561AE" w:rsidRDefault="007561AE" w:rsidP="00D7138D">
            <w:pPr>
              <w:rPr>
                <w:rFonts w:ascii="Times New Roman" w:hAnsi="Times New Roman" w:cs="Times New Roman"/>
                <w:sz w:val="20"/>
                <w:szCs w:val="20"/>
              </w:rPr>
            </w:pPr>
          </w:p>
          <w:p w14:paraId="47538D61" w14:textId="77777777" w:rsidR="007561AE" w:rsidRDefault="007561AE" w:rsidP="00D7138D">
            <w:pPr>
              <w:rPr>
                <w:rFonts w:ascii="Times New Roman" w:hAnsi="Times New Roman" w:cs="Times New Roman"/>
                <w:sz w:val="20"/>
                <w:szCs w:val="20"/>
              </w:rPr>
            </w:pPr>
          </w:p>
          <w:p w14:paraId="6B638D8A" w14:textId="77777777" w:rsidR="007561AE" w:rsidRDefault="007561AE" w:rsidP="00D7138D">
            <w:pPr>
              <w:rPr>
                <w:rFonts w:ascii="Times New Roman" w:hAnsi="Times New Roman" w:cs="Times New Roman"/>
                <w:sz w:val="20"/>
                <w:szCs w:val="20"/>
              </w:rPr>
            </w:pPr>
          </w:p>
          <w:p w14:paraId="043A1B01" w14:textId="77777777" w:rsidR="007561AE" w:rsidRDefault="007561AE" w:rsidP="00D7138D">
            <w:pPr>
              <w:rPr>
                <w:rFonts w:ascii="Times New Roman" w:hAnsi="Times New Roman" w:cs="Times New Roman"/>
                <w:sz w:val="20"/>
                <w:szCs w:val="20"/>
              </w:rPr>
            </w:pPr>
          </w:p>
          <w:p w14:paraId="66B0C346" w14:textId="6529EB54" w:rsidR="007561AE" w:rsidRPr="00D7138D" w:rsidRDefault="007561AE" w:rsidP="00D7138D">
            <w:pPr>
              <w:rPr>
                <w:rFonts w:ascii="Times New Roman" w:hAnsi="Times New Roman" w:cs="Times New Roman"/>
                <w:sz w:val="20"/>
                <w:szCs w:val="20"/>
              </w:rPr>
            </w:pPr>
            <w:r>
              <w:rPr>
                <w:rFonts w:ascii="Times New Roman" w:hAnsi="Times New Roman" w:cs="Times New Roman"/>
                <w:sz w:val="20"/>
                <w:szCs w:val="20"/>
              </w:rPr>
              <w:t>P&amp;T Guidelines</w:t>
            </w:r>
          </w:p>
        </w:tc>
        <w:tc>
          <w:tcPr>
            <w:tcW w:w="5768" w:type="dxa"/>
            <w:vMerge w:val="restart"/>
          </w:tcPr>
          <w:p w14:paraId="18611595" w14:textId="2A81BDE4" w:rsidR="007561AE" w:rsidRDefault="007561AE" w:rsidP="00D7138D">
            <w:pPr>
              <w:rPr>
                <w:rFonts w:ascii="Times New Roman" w:hAnsi="Times New Roman" w:cs="Times New Roman"/>
                <w:sz w:val="20"/>
                <w:szCs w:val="20"/>
              </w:rPr>
            </w:pPr>
            <w:r>
              <w:rPr>
                <w:rFonts w:ascii="Times New Roman" w:hAnsi="Times New Roman" w:cs="Times New Roman"/>
                <w:sz w:val="20"/>
                <w:szCs w:val="20"/>
              </w:rPr>
              <w:t>Instructional Faculty:</w:t>
            </w:r>
          </w:p>
          <w:p w14:paraId="26403876" w14:textId="67DF2AD3" w:rsidR="007561AE" w:rsidRDefault="007561AE" w:rsidP="00D7138D">
            <w:pPr>
              <w:rPr>
                <w:rFonts w:ascii="Times New Roman" w:hAnsi="Times New Roman" w:cs="Times New Roman"/>
                <w:sz w:val="20"/>
                <w:szCs w:val="20"/>
              </w:rPr>
            </w:pPr>
            <w:r w:rsidRPr="00D7138D">
              <w:rPr>
                <w:rFonts w:ascii="Times New Roman" w:hAnsi="Times New Roman" w:cs="Times New Roman"/>
                <w:sz w:val="20"/>
                <w:szCs w:val="20"/>
              </w:rPr>
              <w:t>• Guidelines for the evaluation of</w:t>
            </w:r>
            <w:r>
              <w:rPr>
                <w:rFonts w:ascii="Times New Roman" w:hAnsi="Times New Roman" w:cs="Times New Roman"/>
                <w:sz w:val="20"/>
                <w:szCs w:val="20"/>
              </w:rPr>
              <w:t xml:space="preserve"> NTT instructional faculty</w:t>
            </w:r>
            <w:r w:rsidRPr="00D7138D">
              <w:rPr>
                <w:rFonts w:ascii="Times New Roman" w:hAnsi="Times New Roman" w:cs="Times New Roman"/>
                <w:sz w:val="20"/>
                <w:szCs w:val="20"/>
              </w:rPr>
              <w:t xml:space="preserve"> prior to, at the time of, and following continuous appointment. Should include both the process (who is responsible, timeline, etc.) and the criteria used.</w:t>
            </w:r>
            <w:r w:rsidRPr="00D7138D">
              <w:rPr>
                <w:rFonts w:ascii="Times New Roman" w:hAnsi="Times New Roman" w:cs="Times New Roman"/>
                <w:sz w:val="20"/>
                <w:szCs w:val="20"/>
              </w:rPr>
              <w:br/>
              <w:t xml:space="preserve">• Language on remediation plans for faculty </w:t>
            </w:r>
            <w:r>
              <w:rPr>
                <w:rFonts w:ascii="Times New Roman" w:hAnsi="Times New Roman" w:cs="Times New Roman"/>
                <w:sz w:val="20"/>
                <w:szCs w:val="20"/>
              </w:rPr>
              <w:t>with unsatisfactory evaluation.</w:t>
            </w:r>
            <w:r w:rsidRPr="00D7138D">
              <w:rPr>
                <w:rFonts w:ascii="Times New Roman" w:hAnsi="Times New Roman" w:cs="Times New Roman"/>
                <w:sz w:val="20"/>
                <w:szCs w:val="20"/>
              </w:rPr>
              <w:br/>
              <w:t>• Guidelines for annual reviews and "milestone" review of non</w:t>
            </w:r>
            <w:r>
              <w:rPr>
                <w:rFonts w:ascii="Times New Roman" w:hAnsi="Times New Roman" w:cs="Times New Roman"/>
                <w:sz w:val="20"/>
                <w:szCs w:val="20"/>
              </w:rPr>
              <w:t xml:space="preserve">-tenure track instructional </w:t>
            </w:r>
            <w:r w:rsidRPr="00D7138D">
              <w:rPr>
                <w:rFonts w:ascii="Times New Roman" w:hAnsi="Times New Roman" w:cs="Times New Roman"/>
                <w:sz w:val="20"/>
                <w:szCs w:val="20"/>
              </w:rPr>
              <w:t>faculty consistent with faculty senate guidelines.</w:t>
            </w:r>
            <w:r w:rsidRPr="00D7138D">
              <w:rPr>
                <w:rFonts w:ascii="Times New Roman" w:hAnsi="Times New Roman" w:cs="Times New Roman"/>
                <w:sz w:val="20"/>
                <w:szCs w:val="20"/>
              </w:rPr>
              <w:br/>
              <w:t>*see Article 18, Section 6 (b</w:t>
            </w:r>
            <w:r>
              <w:rPr>
                <w:rFonts w:ascii="Times New Roman" w:hAnsi="Times New Roman" w:cs="Times New Roman"/>
                <w:sz w:val="20"/>
                <w:szCs w:val="20"/>
              </w:rPr>
              <w:t>).</w:t>
            </w:r>
            <w:r>
              <w:rPr>
                <w:rFonts w:ascii="Times New Roman" w:hAnsi="Times New Roman" w:cs="Times New Roman"/>
                <w:sz w:val="20"/>
                <w:szCs w:val="20"/>
              </w:rPr>
              <w:br/>
              <w:t>*see Faculty Senate report.</w:t>
            </w:r>
            <w:r>
              <w:rPr>
                <w:rFonts w:ascii="Times New Roman" w:hAnsi="Times New Roman" w:cs="Times New Roman"/>
                <w:sz w:val="20"/>
                <w:szCs w:val="20"/>
              </w:rPr>
              <w:br/>
            </w:r>
          </w:p>
          <w:p w14:paraId="7AFE8B76" w14:textId="7C34341C" w:rsidR="007561AE" w:rsidRDefault="007561AE" w:rsidP="0061522B">
            <w:pPr>
              <w:rPr>
                <w:rFonts w:ascii="Times New Roman" w:hAnsi="Times New Roman" w:cs="Times New Roman"/>
                <w:sz w:val="20"/>
                <w:szCs w:val="20"/>
              </w:rPr>
            </w:pPr>
            <w:r w:rsidRPr="00D7138D">
              <w:rPr>
                <w:rFonts w:ascii="Times New Roman" w:hAnsi="Times New Roman" w:cs="Times New Roman"/>
                <w:sz w:val="20"/>
                <w:szCs w:val="20"/>
              </w:rPr>
              <w:t>• New hire letters may be added to appendix.</w:t>
            </w:r>
          </w:p>
          <w:p w14:paraId="2DEC8AD1" w14:textId="77777777" w:rsidR="007561AE" w:rsidRDefault="007561AE" w:rsidP="0061522B">
            <w:pPr>
              <w:rPr>
                <w:rFonts w:ascii="Times New Roman" w:hAnsi="Times New Roman" w:cs="Times New Roman"/>
                <w:sz w:val="20"/>
                <w:szCs w:val="20"/>
              </w:rPr>
            </w:pPr>
          </w:p>
          <w:p w14:paraId="66964D77" w14:textId="77777777" w:rsidR="007561AE" w:rsidRDefault="007561AE" w:rsidP="0061522B">
            <w:pPr>
              <w:rPr>
                <w:rFonts w:ascii="Times New Roman" w:hAnsi="Times New Roman" w:cs="Times New Roman"/>
                <w:sz w:val="20"/>
                <w:szCs w:val="20"/>
              </w:rPr>
            </w:pPr>
            <w:r>
              <w:rPr>
                <w:rFonts w:ascii="Times New Roman" w:hAnsi="Times New Roman" w:cs="Times New Roman"/>
                <w:sz w:val="20"/>
                <w:szCs w:val="20"/>
              </w:rPr>
              <w:t xml:space="preserve">Research faculty: </w:t>
            </w:r>
          </w:p>
          <w:p w14:paraId="5A57E4E9" w14:textId="353CD7E8" w:rsidR="007561AE" w:rsidRPr="0061522B" w:rsidRDefault="007561AE" w:rsidP="0061522B">
            <w:pPr>
              <w:rPr>
                <w:rFonts w:ascii="Times New Roman" w:hAnsi="Times New Roman" w:cs="Times New Roman"/>
                <w:sz w:val="20"/>
                <w:szCs w:val="20"/>
              </w:rPr>
            </w:pPr>
            <w:r w:rsidRPr="00D7138D">
              <w:rPr>
                <w:rFonts w:ascii="Times New Roman" w:hAnsi="Times New Roman" w:cs="Times New Roman"/>
                <w:sz w:val="20"/>
                <w:szCs w:val="20"/>
              </w:rPr>
              <w:t>•</w:t>
            </w:r>
            <w:r>
              <w:rPr>
                <w:rFonts w:ascii="Times New Roman" w:hAnsi="Times New Roman" w:cs="Times New Roman"/>
                <w:sz w:val="20"/>
                <w:szCs w:val="20"/>
              </w:rPr>
              <w:t xml:space="preserve"> Departments/units with research faculty should establish and maintain guidelines for review of NTT research faculty consistent with University guidelines.</w:t>
            </w:r>
          </w:p>
          <w:p w14:paraId="41293A88" w14:textId="77777777" w:rsidR="007561AE" w:rsidRDefault="007561AE" w:rsidP="00D7138D">
            <w:pPr>
              <w:rPr>
                <w:rFonts w:ascii="Times New Roman" w:hAnsi="Times New Roman" w:cs="Times New Roman"/>
                <w:sz w:val="20"/>
                <w:szCs w:val="20"/>
              </w:rPr>
            </w:pPr>
          </w:p>
          <w:p w14:paraId="65B7466D" w14:textId="77777777" w:rsidR="007561AE" w:rsidRDefault="007561AE" w:rsidP="00D7138D">
            <w:pPr>
              <w:rPr>
                <w:rFonts w:ascii="Times New Roman" w:hAnsi="Times New Roman" w:cs="Times New Roman"/>
                <w:sz w:val="20"/>
                <w:szCs w:val="20"/>
              </w:rPr>
            </w:pPr>
          </w:p>
          <w:p w14:paraId="08C2CD27" w14:textId="0A4C231F" w:rsidR="007561AE" w:rsidRPr="00D7138D" w:rsidRDefault="007561AE" w:rsidP="00D7138D">
            <w:pPr>
              <w:rPr>
                <w:rFonts w:ascii="Times New Roman" w:hAnsi="Times New Roman" w:cs="Times New Roman"/>
                <w:sz w:val="20"/>
                <w:szCs w:val="20"/>
              </w:rPr>
            </w:pPr>
            <w:r>
              <w:rPr>
                <w:rFonts w:ascii="Times New Roman" w:hAnsi="Times New Roman" w:cs="Times New Roman"/>
                <w:sz w:val="20"/>
                <w:szCs w:val="20"/>
              </w:rPr>
              <w:t>See above.</w:t>
            </w:r>
          </w:p>
        </w:tc>
        <w:tc>
          <w:tcPr>
            <w:tcW w:w="3887" w:type="dxa"/>
            <w:shd w:val="clear" w:color="auto" w:fill="FF99FF"/>
          </w:tcPr>
          <w:p w14:paraId="60F763C2" w14:textId="494F32B7" w:rsidR="007561AE" w:rsidRDefault="007561AE" w:rsidP="00D7138D">
            <w:pPr>
              <w:rPr>
                <w:rFonts w:ascii="Times New Roman" w:hAnsi="Times New Roman" w:cs="Times New Roman"/>
                <w:sz w:val="20"/>
                <w:szCs w:val="20"/>
              </w:rPr>
            </w:pPr>
            <w:r>
              <w:rPr>
                <w:rFonts w:ascii="Times New Roman" w:hAnsi="Times New Roman" w:cs="Times New Roman"/>
                <w:sz w:val="20"/>
                <w:szCs w:val="20"/>
              </w:rPr>
              <w:t>Template will be provided once revisions to NTT Instructional Faculty Guidelines are approved by Faculty Senate.</w:t>
            </w:r>
          </w:p>
          <w:p w14:paraId="0DBAF381" w14:textId="77777777" w:rsidR="007561AE" w:rsidRDefault="007561AE" w:rsidP="00D7138D">
            <w:pPr>
              <w:rPr>
                <w:rFonts w:ascii="Times New Roman" w:hAnsi="Times New Roman" w:cs="Times New Roman"/>
                <w:sz w:val="20"/>
                <w:szCs w:val="20"/>
              </w:rPr>
            </w:pPr>
          </w:p>
          <w:p w14:paraId="581C5029" w14:textId="77777777" w:rsidR="007561AE" w:rsidRDefault="007561AE" w:rsidP="00D7138D">
            <w:pPr>
              <w:rPr>
                <w:rFonts w:ascii="Times New Roman" w:hAnsi="Times New Roman" w:cs="Times New Roman"/>
                <w:sz w:val="20"/>
                <w:szCs w:val="20"/>
              </w:rPr>
            </w:pPr>
          </w:p>
          <w:p w14:paraId="513C2CDB" w14:textId="77777777" w:rsidR="007561AE" w:rsidRDefault="007561AE" w:rsidP="00D7138D">
            <w:pPr>
              <w:rPr>
                <w:rFonts w:ascii="Times New Roman" w:hAnsi="Times New Roman" w:cs="Times New Roman"/>
                <w:sz w:val="20"/>
                <w:szCs w:val="20"/>
              </w:rPr>
            </w:pPr>
          </w:p>
          <w:p w14:paraId="0C919FFC" w14:textId="77777777" w:rsidR="007561AE" w:rsidRDefault="007561AE" w:rsidP="00D7138D">
            <w:pPr>
              <w:rPr>
                <w:rFonts w:ascii="Times New Roman" w:hAnsi="Times New Roman" w:cs="Times New Roman"/>
                <w:sz w:val="20"/>
                <w:szCs w:val="20"/>
              </w:rPr>
            </w:pPr>
          </w:p>
          <w:p w14:paraId="49B33288" w14:textId="77777777" w:rsidR="007561AE" w:rsidRDefault="007561AE" w:rsidP="00D7138D">
            <w:pPr>
              <w:rPr>
                <w:rFonts w:ascii="Times New Roman" w:hAnsi="Times New Roman" w:cs="Times New Roman"/>
                <w:sz w:val="20"/>
                <w:szCs w:val="20"/>
              </w:rPr>
            </w:pPr>
          </w:p>
          <w:p w14:paraId="7AA656C8" w14:textId="77777777" w:rsidR="007561AE" w:rsidRDefault="007561AE" w:rsidP="00D7138D">
            <w:pPr>
              <w:rPr>
                <w:rFonts w:ascii="Times New Roman" w:hAnsi="Times New Roman" w:cs="Times New Roman"/>
                <w:sz w:val="20"/>
                <w:szCs w:val="20"/>
              </w:rPr>
            </w:pPr>
          </w:p>
          <w:p w14:paraId="5A5C2C84" w14:textId="77777777" w:rsidR="007561AE" w:rsidRDefault="007561AE" w:rsidP="00D7138D">
            <w:pPr>
              <w:rPr>
                <w:rFonts w:ascii="Times New Roman" w:hAnsi="Times New Roman" w:cs="Times New Roman"/>
                <w:sz w:val="20"/>
                <w:szCs w:val="20"/>
              </w:rPr>
            </w:pPr>
          </w:p>
          <w:p w14:paraId="1D24B985" w14:textId="77777777" w:rsidR="007561AE" w:rsidRDefault="007561AE" w:rsidP="00D7138D">
            <w:pPr>
              <w:rPr>
                <w:rFonts w:ascii="Times New Roman" w:hAnsi="Times New Roman" w:cs="Times New Roman"/>
                <w:sz w:val="20"/>
                <w:szCs w:val="20"/>
              </w:rPr>
            </w:pPr>
          </w:p>
          <w:p w14:paraId="24EDD692" w14:textId="77777777" w:rsidR="007561AE" w:rsidRDefault="007561AE" w:rsidP="00D7138D">
            <w:pPr>
              <w:rPr>
                <w:rFonts w:ascii="Times New Roman" w:hAnsi="Times New Roman" w:cs="Times New Roman"/>
                <w:sz w:val="20"/>
                <w:szCs w:val="20"/>
              </w:rPr>
            </w:pPr>
          </w:p>
          <w:p w14:paraId="534D5BCE" w14:textId="77777777" w:rsidR="007561AE" w:rsidRDefault="007561AE" w:rsidP="00D7138D">
            <w:pPr>
              <w:rPr>
                <w:rFonts w:ascii="Times New Roman" w:hAnsi="Times New Roman" w:cs="Times New Roman"/>
                <w:sz w:val="20"/>
                <w:szCs w:val="20"/>
              </w:rPr>
            </w:pPr>
          </w:p>
          <w:p w14:paraId="59C7D396" w14:textId="77777777" w:rsidR="007561AE" w:rsidRDefault="007561AE" w:rsidP="00D7138D">
            <w:pPr>
              <w:rPr>
                <w:rFonts w:ascii="Times New Roman" w:hAnsi="Times New Roman" w:cs="Times New Roman"/>
                <w:sz w:val="20"/>
                <w:szCs w:val="20"/>
              </w:rPr>
            </w:pPr>
          </w:p>
          <w:p w14:paraId="5B4F219B" w14:textId="5E84FC06" w:rsidR="007561AE" w:rsidRPr="00D7138D" w:rsidRDefault="007561AE" w:rsidP="00D7138D">
            <w:pPr>
              <w:rPr>
                <w:rFonts w:ascii="Times New Roman" w:hAnsi="Times New Roman" w:cs="Times New Roman"/>
                <w:sz w:val="20"/>
                <w:szCs w:val="20"/>
              </w:rPr>
            </w:pPr>
          </w:p>
        </w:tc>
      </w:tr>
      <w:tr w:rsidR="007561AE" w14:paraId="0C07B6A5" w14:textId="77777777" w:rsidTr="00D45DE4">
        <w:trPr>
          <w:trHeight w:val="3276"/>
        </w:trPr>
        <w:tc>
          <w:tcPr>
            <w:tcW w:w="1828" w:type="dxa"/>
            <w:vMerge/>
          </w:tcPr>
          <w:p w14:paraId="63C965D0" w14:textId="77777777" w:rsidR="007561AE" w:rsidRPr="00D7138D" w:rsidRDefault="007561AE" w:rsidP="00D7138D">
            <w:pPr>
              <w:rPr>
                <w:rFonts w:ascii="Times New Roman" w:hAnsi="Times New Roman" w:cs="Times New Roman"/>
                <w:sz w:val="20"/>
                <w:szCs w:val="20"/>
              </w:rPr>
            </w:pPr>
          </w:p>
        </w:tc>
        <w:tc>
          <w:tcPr>
            <w:tcW w:w="939" w:type="dxa"/>
            <w:vMerge/>
          </w:tcPr>
          <w:p w14:paraId="4053CCE1" w14:textId="77777777" w:rsidR="007561AE" w:rsidRDefault="007561AE" w:rsidP="00D7138D">
            <w:pPr>
              <w:rPr>
                <w:rFonts w:ascii="Times New Roman" w:hAnsi="Times New Roman" w:cs="Times New Roman"/>
                <w:sz w:val="20"/>
                <w:szCs w:val="20"/>
              </w:rPr>
            </w:pPr>
          </w:p>
        </w:tc>
        <w:tc>
          <w:tcPr>
            <w:tcW w:w="528" w:type="dxa"/>
            <w:vMerge/>
          </w:tcPr>
          <w:p w14:paraId="69E7B84A" w14:textId="77777777" w:rsidR="007561AE" w:rsidRPr="00D7138D" w:rsidRDefault="007561AE" w:rsidP="00D7138D">
            <w:pPr>
              <w:rPr>
                <w:rFonts w:ascii="Times New Roman" w:hAnsi="Times New Roman" w:cs="Times New Roman"/>
                <w:sz w:val="20"/>
                <w:szCs w:val="20"/>
              </w:rPr>
            </w:pPr>
          </w:p>
        </w:tc>
        <w:tc>
          <w:tcPr>
            <w:tcW w:w="3545" w:type="dxa"/>
            <w:vMerge/>
          </w:tcPr>
          <w:p w14:paraId="7995E5F1" w14:textId="77777777" w:rsidR="007561AE" w:rsidRPr="00D7138D" w:rsidRDefault="007561AE" w:rsidP="00B44FE4">
            <w:pPr>
              <w:rPr>
                <w:rFonts w:ascii="Times New Roman" w:hAnsi="Times New Roman" w:cs="Times New Roman"/>
                <w:sz w:val="20"/>
                <w:szCs w:val="20"/>
              </w:rPr>
            </w:pPr>
          </w:p>
        </w:tc>
        <w:tc>
          <w:tcPr>
            <w:tcW w:w="1260" w:type="dxa"/>
            <w:vMerge/>
          </w:tcPr>
          <w:p w14:paraId="06A34072" w14:textId="77777777" w:rsidR="007561AE" w:rsidRPr="00D7138D" w:rsidRDefault="007561AE" w:rsidP="00D7138D">
            <w:pPr>
              <w:rPr>
                <w:rFonts w:ascii="Times New Roman" w:hAnsi="Times New Roman" w:cs="Times New Roman"/>
                <w:sz w:val="20"/>
                <w:szCs w:val="20"/>
              </w:rPr>
            </w:pPr>
          </w:p>
        </w:tc>
        <w:tc>
          <w:tcPr>
            <w:tcW w:w="5768" w:type="dxa"/>
            <w:vMerge/>
          </w:tcPr>
          <w:p w14:paraId="3FEC0C7D" w14:textId="77777777" w:rsidR="007561AE" w:rsidRDefault="007561AE" w:rsidP="00D7138D">
            <w:pPr>
              <w:rPr>
                <w:rFonts w:ascii="Times New Roman" w:hAnsi="Times New Roman" w:cs="Times New Roman"/>
                <w:sz w:val="20"/>
                <w:szCs w:val="20"/>
              </w:rPr>
            </w:pPr>
          </w:p>
        </w:tc>
        <w:tc>
          <w:tcPr>
            <w:tcW w:w="3887" w:type="dxa"/>
            <w:shd w:val="clear" w:color="auto" w:fill="99FF99"/>
          </w:tcPr>
          <w:p w14:paraId="240E14C8" w14:textId="77777777" w:rsidR="007561AE" w:rsidRDefault="007561AE" w:rsidP="007561AE">
            <w:pPr>
              <w:rPr>
                <w:rFonts w:ascii="Times New Roman" w:hAnsi="Times New Roman" w:cs="Times New Roman"/>
                <w:sz w:val="20"/>
                <w:szCs w:val="20"/>
              </w:rPr>
            </w:pPr>
            <w:r>
              <w:rPr>
                <w:rFonts w:ascii="Times New Roman" w:hAnsi="Times New Roman" w:cs="Times New Roman"/>
                <w:sz w:val="20"/>
                <w:szCs w:val="20"/>
              </w:rPr>
              <w:t>Those units that employ research faculty must include guidelines for their review.</w:t>
            </w:r>
          </w:p>
          <w:p w14:paraId="4B400782" w14:textId="77777777" w:rsidR="007561AE" w:rsidRDefault="007561AE" w:rsidP="007561AE">
            <w:pPr>
              <w:rPr>
                <w:rFonts w:ascii="Times New Roman" w:hAnsi="Times New Roman" w:cs="Times New Roman"/>
                <w:sz w:val="20"/>
                <w:szCs w:val="20"/>
              </w:rPr>
            </w:pPr>
          </w:p>
          <w:p w14:paraId="726CF1AC" w14:textId="77777777" w:rsidR="007561AE" w:rsidRDefault="007561AE" w:rsidP="007561AE">
            <w:pPr>
              <w:rPr>
                <w:rFonts w:ascii="Times New Roman" w:hAnsi="Times New Roman" w:cs="Times New Roman"/>
                <w:sz w:val="20"/>
                <w:szCs w:val="20"/>
              </w:rPr>
            </w:pPr>
          </w:p>
          <w:p w14:paraId="58803F74" w14:textId="77777777" w:rsidR="007561AE" w:rsidRDefault="007561AE" w:rsidP="007561AE">
            <w:pPr>
              <w:rPr>
                <w:rFonts w:ascii="Times New Roman" w:hAnsi="Times New Roman" w:cs="Times New Roman"/>
                <w:sz w:val="20"/>
                <w:szCs w:val="20"/>
              </w:rPr>
            </w:pPr>
          </w:p>
          <w:p w14:paraId="2EC55829" w14:textId="77777777" w:rsidR="007561AE" w:rsidRDefault="007561AE" w:rsidP="007561AE">
            <w:pPr>
              <w:rPr>
                <w:rFonts w:ascii="Times New Roman" w:hAnsi="Times New Roman" w:cs="Times New Roman"/>
                <w:sz w:val="20"/>
                <w:szCs w:val="20"/>
              </w:rPr>
            </w:pPr>
          </w:p>
          <w:p w14:paraId="5DA7DE4A" w14:textId="4B0F3B9A" w:rsidR="007561AE" w:rsidRDefault="007561AE" w:rsidP="007561AE">
            <w:pPr>
              <w:rPr>
                <w:rFonts w:ascii="Times New Roman" w:hAnsi="Times New Roman" w:cs="Times New Roman"/>
                <w:sz w:val="20"/>
                <w:szCs w:val="20"/>
              </w:rPr>
            </w:pPr>
            <w:r>
              <w:rPr>
                <w:rFonts w:ascii="Times New Roman" w:hAnsi="Times New Roman" w:cs="Times New Roman"/>
                <w:sz w:val="20"/>
                <w:szCs w:val="20"/>
              </w:rPr>
              <w:t>See above.</w:t>
            </w:r>
          </w:p>
        </w:tc>
      </w:tr>
      <w:tr w:rsidR="007100CF" w14:paraId="1FA5293D" w14:textId="77777777" w:rsidTr="007100CF">
        <w:trPr>
          <w:trHeight w:val="2184"/>
        </w:trPr>
        <w:tc>
          <w:tcPr>
            <w:tcW w:w="1828" w:type="dxa"/>
            <w:vMerge w:val="restart"/>
          </w:tcPr>
          <w:p w14:paraId="11698507" w14:textId="77777777" w:rsidR="007100CF" w:rsidRPr="0099357F" w:rsidRDefault="007100CF" w:rsidP="0099357F">
            <w:pPr>
              <w:rPr>
                <w:rFonts w:ascii="Times New Roman" w:hAnsi="Times New Roman" w:cs="Times New Roman"/>
                <w:sz w:val="20"/>
                <w:szCs w:val="20"/>
              </w:rPr>
            </w:pPr>
            <w:r w:rsidRPr="0099357F">
              <w:rPr>
                <w:rFonts w:ascii="Times New Roman" w:hAnsi="Times New Roman" w:cs="Times New Roman"/>
                <w:sz w:val="20"/>
                <w:szCs w:val="20"/>
              </w:rPr>
              <w:lastRenderedPageBreak/>
              <w:t>Professional Development and Support</w:t>
            </w:r>
          </w:p>
        </w:tc>
        <w:tc>
          <w:tcPr>
            <w:tcW w:w="939" w:type="dxa"/>
            <w:vMerge w:val="restart"/>
          </w:tcPr>
          <w:p w14:paraId="18210CFA" w14:textId="77777777" w:rsidR="007100CF" w:rsidRPr="0099357F" w:rsidRDefault="007100CF" w:rsidP="0099357F">
            <w:pPr>
              <w:rPr>
                <w:rFonts w:ascii="Times New Roman" w:hAnsi="Times New Roman" w:cs="Times New Roman"/>
                <w:sz w:val="20"/>
                <w:szCs w:val="20"/>
              </w:rPr>
            </w:pPr>
            <w:r>
              <w:rPr>
                <w:rFonts w:ascii="Times New Roman" w:hAnsi="Times New Roman" w:cs="Times New Roman"/>
                <w:sz w:val="20"/>
                <w:szCs w:val="20"/>
              </w:rPr>
              <w:t>19.</w:t>
            </w:r>
            <w:r w:rsidRPr="0099357F">
              <w:rPr>
                <w:rFonts w:ascii="Times New Roman" w:hAnsi="Times New Roman" w:cs="Times New Roman"/>
                <w:sz w:val="20"/>
                <w:szCs w:val="20"/>
              </w:rPr>
              <w:t>3</w:t>
            </w:r>
          </w:p>
        </w:tc>
        <w:tc>
          <w:tcPr>
            <w:tcW w:w="528" w:type="dxa"/>
            <w:vMerge w:val="restart"/>
          </w:tcPr>
          <w:p w14:paraId="46FB8579" w14:textId="77777777" w:rsidR="007100CF" w:rsidRPr="0099357F" w:rsidRDefault="007100CF" w:rsidP="0099357F">
            <w:pPr>
              <w:rPr>
                <w:rFonts w:ascii="Times New Roman" w:hAnsi="Times New Roman" w:cs="Times New Roman"/>
                <w:sz w:val="20"/>
                <w:szCs w:val="20"/>
              </w:rPr>
            </w:pPr>
            <w:r w:rsidRPr="0099357F">
              <w:rPr>
                <w:rFonts w:ascii="Times New Roman" w:hAnsi="Times New Roman" w:cs="Times New Roman"/>
                <w:sz w:val="20"/>
                <w:szCs w:val="20"/>
              </w:rPr>
              <w:t>28</w:t>
            </w:r>
          </w:p>
        </w:tc>
        <w:tc>
          <w:tcPr>
            <w:tcW w:w="3545" w:type="dxa"/>
            <w:vMerge w:val="restart"/>
          </w:tcPr>
          <w:p w14:paraId="3A3C44B4" w14:textId="77777777" w:rsidR="007100CF" w:rsidRPr="0099357F" w:rsidRDefault="007100CF" w:rsidP="0099357F">
            <w:pPr>
              <w:rPr>
                <w:rFonts w:ascii="Times New Roman" w:hAnsi="Times New Roman" w:cs="Times New Roman"/>
                <w:sz w:val="20"/>
                <w:szCs w:val="20"/>
              </w:rPr>
            </w:pPr>
            <w:r w:rsidRPr="0099357F">
              <w:rPr>
                <w:rFonts w:ascii="Times New Roman" w:hAnsi="Times New Roman" w:cs="Times New Roman"/>
                <w:sz w:val="20"/>
                <w:szCs w:val="20"/>
              </w:rPr>
              <w:t xml:space="preserve">(d) A member may utilize funds in an IPDA for activities that support the </w:t>
            </w:r>
            <w:r w:rsidRPr="0099357F">
              <w:rPr>
                <w:rFonts w:ascii="Times New Roman" w:hAnsi="Times New Roman" w:cs="Times New Roman"/>
                <w:b/>
                <w:bCs/>
                <w:sz w:val="20"/>
                <w:szCs w:val="20"/>
              </w:rPr>
              <w:t>job-related professional development</w:t>
            </w:r>
            <w:r w:rsidRPr="0099357F">
              <w:rPr>
                <w:rFonts w:ascii="Times New Roman" w:hAnsi="Times New Roman" w:cs="Times New Roman"/>
                <w:sz w:val="20"/>
                <w:szCs w:val="20"/>
              </w:rPr>
              <w:t xml:space="preserve"> of the member. The use of IPDA funds is</w:t>
            </w:r>
            <w:r w:rsidRPr="0099357F">
              <w:rPr>
                <w:rFonts w:ascii="Times New Roman" w:hAnsi="Times New Roman" w:cs="Times New Roman"/>
                <w:b/>
                <w:bCs/>
                <w:sz w:val="20"/>
                <w:szCs w:val="20"/>
              </w:rPr>
              <w:t xml:space="preserve"> subject to the pre-approval of the member’s supervisor</w:t>
            </w:r>
            <w:r w:rsidRPr="0099357F">
              <w:rPr>
                <w:rFonts w:ascii="Times New Roman" w:hAnsi="Times New Roman" w:cs="Times New Roman"/>
                <w:sz w:val="20"/>
                <w:szCs w:val="20"/>
              </w:rPr>
              <w:t xml:space="preserve"> and to all applicable University policies and procedures regarding the appropriate use and documentation of University expenditures. Examples of such use could include, but are not limited to, travel for the presentation of scholarly work, conference fees and travel, professional organization fees, professional licensure or certification requirements, acquisition of specialized equipment (such as laboratory or art supplies), tuition and/or fees, subscriptions and books, submission fees, and relevant training and continuing education opportunities.</w:t>
            </w:r>
          </w:p>
        </w:tc>
        <w:tc>
          <w:tcPr>
            <w:tcW w:w="1260" w:type="dxa"/>
            <w:vMerge w:val="restart"/>
          </w:tcPr>
          <w:p w14:paraId="35248DC0" w14:textId="77777777" w:rsidR="007100CF" w:rsidRPr="0099357F" w:rsidRDefault="007100CF" w:rsidP="0099357F">
            <w:pPr>
              <w:rPr>
                <w:rFonts w:ascii="Times New Roman" w:hAnsi="Times New Roman" w:cs="Times New Roman"/>
                <w:sz w:val="20"/>
                <w:szCs w:val="20"/>
              </w:rPr>
            </w:pPr>
            <w:r w:rsidRPr="0099357F">
              <w:rPr>
                <w:rFonts w:ascii="Times New Roman" w:hAnsi="Times New Roman" w:cs="Times New Roman"/>
                <w:sz w:val="20"/>
                <w:szCs w:val="20"/>
              </w:rPr>
              <w:t>Bylaws</w:t>
            </w:r>
          </w:p>
        </w:tc>
        <w:tc>
          <w:tcPr>
            <w:tcW w:w="5768" w:type="dxa"/>
            <w:vMerge w:val="restart"/>
          </w:tcPr>
          <w:p w14:paraId="565EC8DA" w14:textId="5CC8DA97" w:rsidR="007100CF" w:rsidRPr="0099357F" w:rsidRDefault="007100CF" w:rsidP="004D243F">
            <w:pPr>
              <w:rPr>
                <w:rFonts w:ascii="Times New Roman" w:hAnsi="Times New Roman" w:cs="Times New Roman"/>
                <w:sz w:val="20"/>
                <w:szCs w:val="20"/>
              </w:rPr>
            </w:pPr>
            <w:r w:rsidRPr="0099357F">
              <w:rPr>
                <w:rFonts w:ascii="Times New Roman" w:hAnsi="Times New Roman" w:cs="Times New Roman"/>
                <w:sz w:val="20"/>
                <w:szCs w:val="20"/>
              </w:rPr>
              <w:t>• Procedures for review and additional examples, specific to unit, of approp</w:t>
            </w:r>
            <w:r>
              <w:rPr>
                <w:rFonts w:ascii="Times New Roman" w:hAnsi="Times New Roman" w:cs="Times New Roman"/>
                <w:sz w:val="20"/>
                <w:szCs w:val="20"/>
              </w:rPr>
              <w:t>riate utilization of IPDA funds (optional).</w:t>
            </w:r>
            <w:r w:rsidRPr="0099357F">
              <w:rPr>
                <w:rFonts w:ascii="Times New Roman" w:hAnsi="Times New Roman" w:cs="Times New Roman"/>
                <w:sz w:val="20"/>
                <w:szCs w:val="20"/>
              </w:rPr>
              <w:br/>
            </w:r>
            <w:r w:rsidRPr="0099357F">
              <w:rPr>
                <w:rFonts w:ascii="Times New Roman" w:hAnsi="Times New Roman" w:cs="Times New Roman"/>
                <w:sz w:val="20"/>
                <w:szCs w:val="20"/>
              </w:rPr>
              <w:br/>
            </w:r>
            <w:r w:rsidRPr="002400A9">
              <w:rPr>
                <w:rFonts w:ascii="Times New Roman" w:hAnsi="Times New Roman" w:cs="Times New Roman"/>
                <w:sz w:val="20"/>
                <w:szCs w:val="20"/>
              </w:rPr>
              <w:t>• Language to clarify that if appointment is ending, employee can no longer access IPDA funds.</w:t>
            </w:r>
          </w:p>
        </w:tc>
        <w:tc>
          <w:tcPr>
            <w:tcW w:w="3887" w:type="dxa"/>
            <w:shd w:val="clear" w:color="auto" w:fill="FF99FF"/>
          </w:tcPr>
          <w:p w14:paraId="0E7E5590" w14:textId="7F52A903" w:rsidR="007100CF" w:rsidRPr="0099357F" w:rsidRDefault="007100CF" w:rsidP="007100CF">
            <w:pPr>
              <w:rPr>
                <w:rFonts w:ascii="Times New Roman" w:hAnsi="Times New Roman" w:cs="Times New Roman"/>
                <w:color w:val="E26B0A"/>
                <w:sz w:val="20"/>
                <w:szCs w:val="20"/>
              </w:rPr>
            </w:pPr>
            <w:r w:rsidRPr="002400A9">
              <w:rPr>
                <w:rFonts w:ascii="Times New Roman" w:hAnsi="Times New Roman" w:cs="Times New Roman"/>
                <w:sz w:val="20"/>
                <w:szCs w:val="20"/>
              </w:rPr>
              <w:t>Add language in entirety:</w:t>
            </w:r>
            <w:r w:rsidRPr="002400A9">
              <w:rPr>
                <w:rFonts w:ascii="Times New Roman" w:hAnsi="Times New Roman" w:cs="Times New Roman"/>
                <w:sz w:val="20"/>
                <w:szCs w:val="20"/>
              </w:rPr>
              <w:br/>
              <w:t>"</w:t>
            </w:r>
            <w:r w:rsidRPr="002400A9">
              <w:rPr>
                <w:rFonts w:ascii="Times New Roman" w:hAnsi="Times New Roman" w:cs="Times New Roman"/>
                <w:b/>
                <w:bCs/>
                <w:sz w:val="20"/>
                <w:szCs w:val="20"/>
              </w:rPr>
              <w:t>Individual Professional Development Accounts (IPDA)</w:t>
            </w:r>
            <w:r w:rsidRPr="002400A9">
              <w:rPr>
                <w:rFonts w:ascii="Times New Roman" w:hAnsi="Times New Roman" w:cs="Times New Roman"/>
                <w:sz w:val="20"/>
                <w:szCs w:val="20"/>
              </w:rPr>
              <w:t>:</w:t>
            </w:r>
            <w:r w:rsidRPr="002400A9">
              <w:rPr>
                <w:rFonts w:ascii="Times New Roman" w:hAnsi="Times New Roman" w:cs="Times New Roman"/>
                <w:sz w:val="20"/>
                <w:szCs w:val="20"/>
              </w:rPr>
              <w:br/>
              <w:t xml:space="preserve">1. Faculty members and academic professionals may utilize funds in their IPDA for activities that support the job-related professional development of the member. The use of IPDA funds is subject to the pre-approval of the department chair and to all applicable University policies and procedures regarding the appropriate use and documentation of University expenditures. Examples of such use </w:t>
            </w:r>
            <w:r>
              <w:rPr>
                <w:rFonts w:ascii="Times New Roman" w:hAnsi="Times New Roman" w:cs="Times New Roman"/>
                <w:sz w:val="20"/>
                <w:szCs w:val="20"/>
              </w:rPr>
              <w:t xml:space="preserve">from the CBA </w:t>
            </w:r>
            <w:r w:rsidRPr="002400A9">
              <w:rPr>
                <w:rFonts w:ascii="Times New Roman" w:hAnsi="Times New Roman" w:cs="Times New Roman"/>
                <w:sz w:val="20"/>
                <w:szCs w:val="20"/>
              </w:rPr>
              <w:t>include, but are not limited to, travel for the presentation of scholarly work, conference fees and travel, professional organization fees, professional licensure or certification requirements, acquisition of specialized equipment (such as laboratory or art supplies), tuition and/or fees, subscriptions and books, submission fees, and relevant training and co</w:t>
            </w:r>
            <w:r>
              <w:rPr>
                <w:rFonts w:ascii="Times New Roman" w:hAnsi="Times New Roman" w:cs="Times New Roman"/>
                <w:sz w:val="20"/>
                <w:szCs w:val="20"/>
              </w:rPr>
              <w:t xml:space="preserve">ntinuing education opportunities </w:t>
            </w:r>
          </w:p>
        </w:tc>
      </w:tr>
      <w:tr w:rsidR="007100CF" w14:paraId="6B2A61E7" w14:textId="77777777" w:rsidTr="007100CF">
        <w:trPr>
          <w:trHeight w:val="557"/>
        </w:trPr>
        <w:tc>
          <w:tcPr>
            <w:tcW w:w="1828" w:type="dxa"/>
            <w:vMerge/>
          </w:tcPr>
          <w:p w14:paraId="7103D9E2" w14:textId="77777777" w:rsidR="007100CF" w:rsidRPr="0099357F" w:rsidRDefault="007100CF" w:rsidP="0099357F">
            <w:pPr>
              <w:rPr>
                <w:rFonts w:ascii="Times New Roman" w:hAnsi="Times New Roman" w:cs="Times New Roman"/>
                <w:sz w:val="20"/>
                <w:szCs w:val="20"/>
              </w:rPr>
            </w:pPr>
          </w:p>
        </w:tc>
        <w:tc>
          <w:tcPr>
            <w:tcW w:w="939" w:type="dxa"/>
            <w:vMerge/>
          </w:tcPr>
          <w:p w14:paraId="3BCAA8D1" w14:textId="77777777" w:rsidR="007100CF" w:rsidRDefault="007100CF" w:rsidP="0099357F">
            <w:pPr>
              <w:rPr>
                <w:rFonts w:ascii="Times New Roman" w:hAnsi="Times New Roman" w:cs="Times New Roman"/>
                <w:sz w:val="20"/>
                <w:szCs w:val="20"/>
              </w:rPr>
            </w:pPr>
          </w:p>
        </w:tc>
        <w:tc>
          <w:tcPr>
            <w:tcW w:w="528" w:type="dxa"/>
            <w:vMerge/>
          </w:tcPr>
          <w:p w14:paraId="68BB1B30" w14:textId="77777777" w:rsidR="007100CF" w:rsidRPr="0099357F" w:rsidRDefault="007100CF" w:rsidP="0099357F">
            <w:pPr>
              <w:rPr>
                <w:rFonts w:ascii="Times New Roman" w:hAnsi="Times New Roman" w:cs="Times New Roman"/>
                <w:sz w:val="20"/>
                <w:szCs w:val="20"/>
              </w:rPr>
            </w:pPr>
          </w:p>
        </w:tc>
        <w:tc>
          <w:tcPr>
            <w:tcW w:w="3545" w:type="dxa"/>
            <w:vMerge/>
          </w:tcPr>
          <w:p w14:paraId="6D0EE24B" w14:textId="77777777" w:rsidR="007100CF" w:rsidRPr="0099357F" w:rsidRDefault="007100CF" w:rsidP="0099357F">
            <w:pPr>
              <w:rPr>
                <w:rFonts w:ascii="Times New Roman" w:hAnsi="Times New Roman" w:cs="Times New Roman"/>
                <w:sz w:val="20"/>
                <w:szCs w:val="20"/>
              </w:rPr>
            </w:pPr>
          </w:p>
        </w:tc>
        <w:tc>
          <w:tcPr>
            <w:tcW w:w="1260" w:type="dxa"/>
            <w:vMerge/>
          </w:tcPr>
          <w:p w14:paraId="6F0C39A0" w14:textId="77777777" w:rsidR="007100CF" w:rsidRPr="0099357F" w:rsidRDefault="007100CF" w:rsidP="0099357F">
            <w:pPr>
              <w:rPr>
                <w:rFonts w:ascii="Times New Roman" w:hAnsi="Times New Roman" w:cs="Times New Roman"/>
                <w:sz w:val="20"/>
                <w:szCs w:val="20"/>
              </w:rPr>
            </w:pPr>
          </w:p>
        </w:tc>
        <w:tc>
          <w:tcPr>
            <w:tcW w:w="5768" w:type="dxa"/>
            <w:vMerge/>
          </w:tcPr>
          <w:p w14:paraId="430B9BFF" w14:textId="77777777" w:rsidR="007100CF" w:rsidRPr="0099357F" w:rsidRDefault="007100CF" w:rsidP="004D243F">
            <w:pPr>
              <w:rPr>
                <w:rFonts w:ascii="Times New Roman" w:hAnsi="Times New Roman" w:cs="Times New Roman"/>
                <w:sz w:val="20"/>
                <w:szCs w:val="20"/>
              </w:rPr>
            </w:pPr>
          </w:p>
        </w:tc>
        <w:tc>
          <w:tcPr>
            <w:tcW w:w="3887" w:type="dxa"/>
            <w:shd w:val="clear" w:color="auto" w:fill="FFFF00"/>
          </w:tcPr>
          <w:p w14:paraId="2F6C5CA1" w14:textId="31FAE786" w:rsidR="007100CF" w:rsidRPr="002400A9" w:rsidRDefault="007100CF" w:rsidP="005D12FF">
            <w:pPr>
              <w:rPr>
                <w:rFonts w:ascii="Times New Roman" w:hAnsi="Times New Roman" w:cs="Times New Roman"/>
                <w:sz w:val="20"/>
                <w:szCs w:val="20"/>
              </w:rPr>
            </w:pPr>
            <w:r w:rsidRPr="00CC7679">
              <w:rPr>
                <w:rFonts w:ascii="Times New Roman" w:hAnsi="Times New Roman" w:cs="Times New Roman"/>
                <w:b/>
                <w:sz w:val="20"/>
                <w:szCs w:val="20"/>
              </w:rPr>
              <w:t>(depts. may add other appropriate examples)</w:t>
            </w:r>
          </w:p>
        </w:tc>
      </w:tr>
      <w:tr w:rsidR="007100CF" w14:paraId="36EEA935" w14:textId="77777777" w:rsidTr="007100CF">
        <w:trPr>
          <w:trHeight w:val="890"/>
        </w:trPr>
        <w:tc>
          <w:tcPr>
            <w:tcW w:w="1828" w:type="dxa"/>
            <w:vMerge/>
          </w:tcPr>
          <w:p w14:paraId="53FADDD1" w14:textId="77777777" w:rsidR="007100CF" w:rsidRPr="0099357F" w:rsidRDefault="007100CF" w:rsidP="0099357F">
            <w:pPr>
              <w:rPr>
                <w:rFonts w:ascii="Times New Roman" w:hAnsi="Times New Roman" w:cs="Times New Roman"/>
                <w:sz w:val="20"/>
                <w:szCs w:val="20"/>
              </w:rPr>
            </w:pPr>
          </w:p>
        </w:tc>
        <w:tc>
          <w:tcPr>
            <w:tcW w:w="939" w:type="dxa"/>
            <w:vMerge/>
          </w:tcPr>
          <w:p w14:paraId="5A1C815A" w14:textId="77777777" w:rsidR="007100CF" w:rsidRDefault="007100CF" w:rsidP="0099357F">
            <w:pPr>
              <w:rPr>
                <w:rFonts w:ascii="Times New Roman" w:hAnsi="Times New Roman" w:cs="Times New Roman"/>
                <w:sz w:val="20"/>
                <w:szCs w:val="20"/>
              </w:rPr>
            </w:pPr>
          </w:p>
        </w:tc>
        <w:tc>
          <w:tcPr>
            <w:tcW w:w="528" w:type="dxa"/>
            <w:vMerge/>
          </w:tcPr>
          <w:p w14:paraId="129B3F27" w14:textId="77777777" w:rsidR="007100CF" w:rsidRPr="0099357F" w:rsidRDefault="007100CF" w:rsidP="0099357F">
            <w:pPr>
              <w:rPr>
                <w:rFonts w:ascii="Times New Roman" w:hAnsi="Times New Roman" w:cs="Times New Roman"/>
                <w:sz w:val="20"/>
                <w:szCs w:val="20"/>
              </w:rPr>
            </w:pPr>
          </w:p>
        </w:tc>
        <w:tc>
          <w:tcPr>
            <w:tcW w:w="3545" w:type="dxa"/>
            <w:vMerge/>
          </w:tcPr>
          <w:p w14:paraId="68D26C65" w14:textId="77777777" w:rsidR="007100CF" w:rsidRPr="0099357F" w:rsidRDefault="007100CF" w:rsidP="0099357F">
            <w:pPr>
              <w:rPr>
                <w:rFonts w:ascii="Times New Roman" w:hAnsi="Times New Roman" w:cs="Times New Roman"/>
                <w:sz w:val="20"/>
                <w:szCs w:val="20"/>
              </w:rPr>
            </w:pPr>
          </w:p>
        </w:tc>
        <w:tc>
          <w:tcPr>
            <w:tcW w:w="1260" w:type="dxa"/>
            <w:vMerge/>
          </w:tcPr>
          <w:p w14:paraId="6B95457E" w14:textId="77777777" w:rsidR="007100CF" w:rsidRPr="0099357F" w:rsidRDefault="007100CF" w:rsidP="0099357F">
            <w:pPr>
              <w:rPr>
                <w:rFonts w:ascii="Times New Roman" w:hAnsi="Times New Roman" w:cs="Times New Roman"/>
                <w:sz w:val="20"/>
                <w:szCs w:val="20"/>
              </w:rPr>
            </w:pPr>
          </w:p>
        </w:tc>
        <w:tc>
          <w:tcPr>
            <w:tcW w:w="5768" w:type="dxa"/>
            <w:vMerge/>
          </w:tcPr>
          <w:p w14:paraId="5897D4B4" w14:textId="77777777" w:rsidR="007100CF" w:rsidRPr="0099357F" w:rsidRDefault="007100CF" w:rsidP="004D243F">
            <w:pPr>
              <w:rPr>
                <w:rFonts w:ascii="Times New Roman" w:hAnsi="Times New Roman" w:cs="Times New Roman"/>
                <w:sz w:val="20"/>
                <w:szCs w:val="20"/>
              </w:rPr>
            </w:pPr>
          </w:p>
        </w:tc>
        <w:tc>
          <w:tcPr>
            <w:tcW w:w="3887" w:type="dxa"/>
            <w:shd w:val="clear" w:color="auto" w:fill="FF99FF"/>
          </w:tcPr>
          <w:p w14:paraId="46C28ACA" w14:textId="77777777" w:rsidR="007100CF" w:rsidRPr="00737BCA" w:rsidRDefault="007100CF" w:rsidP="007100CF">
            <w:pPr>
              <w:rPr>
                <w:rFonts w:ascii="Times New Roman" w:hAnsi="Times New Roman" w:cs="Times New Roman"/>
                <w:sz w:val="20"/>
                <w:szCs w:val="20"/>
              </w:rPr>
            </w:pPr>
            <w:r>
              <w:rPr>
                <w:rFonts w:ascii="Times New Roman" w:hAnsi="Times New Roman" w:cs="Times New Roman"/>
                <w:sz w:val="20"/>
                <w:szCs w:val="20"/>
              </w:rPr>
              <w:t>2</w:t>
            </w:r>
            <w:r w:rsidRPr="00737BCA">
              <w:rPr>
                <w:rFonts w:ascii="Times New Roman" w:hAnsi="Times New Roman" w:cs="Times New Roman"/>
                <w:sz w:val="20"/>
                <w:szCs w:val="20"/>
              </w:rPr>
              <w:t>. Full-time faculty members on sabbatical shall have their IPDA accounts funded at 1.0 FTE.</w:t>
            </w:r>
          </w:p>
          <w:p w14:paraId="53C7E6D0" w14:textId="77777777" w:rsidR="007100CF" w:rsidRPr="002400A9" w:rsidRDefault="007100CF" w:rsidP="005D12FF">
            <w:pPr>
              <w:rPr>
                <w:rFonts w:ascii="Times New Roman" w:hAnsi="Times New Roman" w:cs="Times New Roman"/>
                <w:sz w:val="20"/>
                <w:szCs w:val="20"/>
              </w:rPr>
            </w:pPr>
          </w:p>
        </w:tc>
      </w:tr>
      <w:tr w:rsidR="00AB4C1D" w14:paraId="1F3C3771" w14:textId="77777777" w:rsidTr="007100CF">
        <w:trPr>
          <w:trHeight w:val="1440"/>
        </w:trPr>
        <w:tc>
          <w:tcPr>
            <w:tcW w:w="1828" w:type="dxa"/>
          </w:tcPr>
          <w:p w14:paraId="02CC8D62" w14:textId="77777777" w:rsidR="00AB4C1D" w:rsidRPr="00DF0CC6" w:rsidRDefault="00AB4C1D" w:rsidP="00DF0CC6">
            <w:pPr>
              <w:rPr>
                <w:rFonts w:ascii="Times New Roman" w:hAnsi="Times New Roman" w:cs="Times New Roman"/>
                <w:sz w:val="20"/>
                <w:szCs w:val="20"/>
              </w:rPr>
            </w:pPr>
            <w:r w:rsidRPr="00DF0CC6">
              <w:rPr>
                <w:rFonts w:ascii="Times New Roman" w:hAnsi="Times New Roman" w:cs="Times New Roman"/>
                <w:sz w:val="20"/>
                <w:szCs w:val="20"/>
              </w:rPr>
              <w:t>PSU and AAUP Standing Committee on Work/Life Balance</w:t>
            </w:r>
          </w:p>
        </w:tc>
        <w:tc>
          <w:tcPr>
            <w:tcW w:w="939" w:type="dxa"/>
          </w:tcPr>
          <w:p w14:paraId="7C5888BE" w14:textId="77777777" w:rsidR="00AB4C1D" w:rsidRPr="00DF0CC6" w:rsidRDefault="00AB4C1D" w:rsidP="00DF0CC6">
            <w:pPr>
              <w:rPr>
                <w:rFonts w:ascii="Times New Roman" w:hAnsi="Times New Roman" w:cs="Times New Roman"/>
                <w:sz w:val="20"/>
                <w:szCs w:val="20"/>
              </w:rPr>
            </w:pPr>
            <w:r w:rsidRPr="00DF0CC6">
              <w:rPr>
                <w:rFonts w:ascii="Times New Roman" w:hAnsi="Times New Roman" w:cs="Times New Roman"/>
                <w:sz w:val="20"/>
                <w:szCs w:val="20"/>
              </w:rPr>
              <w:t>LOA #4</w:t>
            </w:r>
          </w:p>
        </w:tc>
        <w:tc>
          <w:tcPr>
            <w:tcW w:w="528" w:type="dxa"/>
          </w:tcPr>
          <w:p w14:paraId="6B82DE4E" w14:textId="77777777" w:rsidR="00AB4C1D" w:rsidRPr="00DF0CC6" w:rsidRDefault="00AB4C1D" w:rsidP="00DF0CC6">
            <w:pPr>
              <w:rPr>
                <w:rFonts w:ascii="Times New Roman" w:hAnsi="Times New Roman" w:cs="Times New Roman"/>
                <w:sz w:val="20"/>
                <w:szCs w:val="20"/>
              </w:rPr>
            </w:pPr>
            <w:r w:rsidRPr="00DF0CC6">
              <w:rPr>
                <w:rFonts w:ascii="Times New Roman" w:hAnsi="Times New Roman" w:cs="Times New Roman"/>
                <w:sz w:val="20"/>
                <w:szCs w:val="20"/>
              </w:rPr>
              <w:t>72</w:t>
            </w:r>
          </w:p>
        </w:tc>
        <w:tc>
          <w:tcPr>
            <w:tcW w:w="3545" w:type="dxa"/>
          </w:tcPr>
          <w:p w14:paraId="16973BDE" w14:textId="731D7B9E" w:rsidR="00AB4C1D" w:rsidRPr="00DF0CC6" w:rsidRDefault="00AB4C1D" w:rsidP="00DF0CC6">
            <w:pPr>
              <w:rPr>
                <w:rFonts w:ascii="Times New Roman" w:hAnsi="Times New Roman" w:cs="Times New Roman"/>
                <w:sz w:val="20"/>
                <w:szCs w:val="20"/>
              </w:rPr>
            </w:pPr>
            <w:r w:rsidRPr="00DF0CC6">
              <w:rPr>
                <w:rFonts w:ascii="Times New Roman" w:hAnsi="Times New Roman" w:cs="Times New Roman"/>
                <w:sz w:val="20"/>
                <w:szCs w:val="20"/>
              </w:rPr>
              <w:t>The Association and the University shall establish a standing committee to continue policy and practice</w:t>
            </w:r>
            <w:r w:rsidR="00DA7EA1">
              <w:rPr>
                <w:rFonts w:ascii="Times New Roman" w:hAnsi="Times New Roman" w:cs="Times New Roman"/>
                <w:sz w:val="20"/>
                <w:szCs w:val="20"/>
              </w:rPr>
              <w:t xml:space="preserve"> development that will provide s</w:t>
            </w:r>
            <w:r w:rsidRPr="00DF0CC6">
              <w:rPr>
                <w:rFonts w:ascii="Times New Roman" w:hAnsi="Times New Roman" w:cs="Times New Roman"/>
                <w:sz w:val="20"/>
                <w:szCs w:val="20"/>
              </w:rPr>
              <w:t xml:space="preserve">upport and career options for employees who balance family and career. </w:t>
            </w:r>
          </w:p>
        </w:tc>
        <w:tc>
          <w:tcPr>
            <w:tcW w:w="1260" w:type="dxa"/>
          </w:tcPr>
          <w:p w14:paraId="42E06BEB" w14:textId="77777777" w:rsidR="00AB4C1D" w:rsidRPr="00DF0CC6" w:rsidRDefault="00AB4C1D" w:rsidP="00DF0CC6">
            <w:pPr>
              <w:rPr>
                <w:rFonts w:ascii="Times New Roman" w:hAnsi="Times New Roman" w:cs="Times New Roman"/>
                <w:sz w:val="20"/>
                <w:szCs w:val="20"/>
              </w:rPr>
            </w:pPr>
            <w:r w:rsidRPr="00DF0CC6">
              <w:rPr>
                <w:rFonts w:ascii="Times New Roman" w:hAnsi="Times New Roman" w:cs="Times New Roman"/>
                <w:sz w:val="20"/>
                <w:szCs w:val="20"/>
              </w:rPr>
              <w:t>Bylaws</w:t>
            </w:r>
          </w:p>
        </w:tc>
        <w:tc>
          <w:tcPr>
            <w:tcW w:w="5768" w:type="dxa"/>
          </w:tcPr>
          <w:p w14:paraId="36990005" w14:textId="77777777" w:rsidR="00AB4C1D" w:rsidRPr="00DF0CC6" w:rsidRDefault="00AB4C1D" w:rsidP="00DF0CC6">
            <w:pPr>
              <w:rPr>
                <w:rFonts w:ascii="Times New Roman" w:hAnsi="Times New Roman" w:cs="Times New Roman"/>
                <w:sz w:val="20"/>
                <w:szCs w:val="20"/>
              </w:rPr>
            </w:pPr>
            <w:r w:rsidRPr="00DF0CC6">
              <w:rPr>
                <w:rFonts w:ascii="Times New Roman" w:hAnsi="Times New Roman" w:cs="Times New Roman"/>
                <w:sz w:val="20"/>
                <w:szCs w:val="20"/>
              </w:rPr>
              <w:t>Statement about a supportive department culture (optional).</w:t>
            </w:r>
            <w:r w:rsidRPr="00DF0CC6">
              <w:rPr>
                <w:rFonts w:ascii="Times New Roman" w:hAnsi="Times New Roman" w:cs="Times New Roman"/>
                <w:sz w:val="20"/>
                <w:szCs w:val="20"/>
              </w:rPr>
              <w:br/>
              <w:t>*see attachment on work/life balance statements:</w:t>
            </w:r>
            <w:r>
              <w:rPr>
                <w:rFonts w:ascii="Times New Roman" w:hAnsi="Times New Roman" w:cs="Times New Roman"/>
                <w:sz w:val="20"/>
                <w:szCs w:val="20"/>
              </w:rPr>
              <w:t xml:space="preserve"> </w:t>
            </w:r>
            <w:hyperlink r:id="rId10" w:history="1">
              <w:r w:rsidRPr="00DF0CC6">
                <w:rPr>
                  <w:rStyle w:val="Hyperlink"/>
                  <w:rFonts w:ascii="Times New Roman" w:hAnsi="Times New Roman" w:cs="Times New Roman"/>
                  <w:sz w:val="20"/>
                  <w:szCs w:val="20"/>
                </w:rPr>
                <w:t>https://drive.google.com/file/d/0ByMEZreovtf5THQxNVRydUN3Wm8/view</w:t>
              </w:r>
            </w:hyperlink>
          </w:p>
        </w:tc>
        <w:tc>
          <w:tcPr>
            <w:tcW w:w="3887" w:type="dxa"/>
            <w:shd w:val="clear" w:color="auto" w:fill="FFFF00"/>
          </w:tcPr>
          <w:p w14:paraId="47944C34" w14:textId="5479B6C3" w:rsidR="00AB4C1D" w:rsidRPr="00DF0CC6" w:rsidRDefault="003E11FE" w:rsidP="00DF0CC6">
            <w:pPr>
              <w:rPr>
                <w:rFonts w:ascii="Times New Roman" w:hAnsi="Times New Roman" w:cs="Times New Roman"/>
                <w:color w:val="E26B0A"/>
                <w:sz w:val="20"/>
                <w:szCs w:val="20"/>
              </w:rPr>
            </w:pPr>
            <w:r>
              <w:rPr>
                <w:rFonts w:ascii="Times New Roman" w:hAnsi="Times New Roman" w:cs="Times New Roman"/>
                <w:sz w:val="20"/>
                <w:szCs w:val="20"/>
              </w:rPr>
              <w:t>To be developed by department.</w:t>
            </w:r>
          </w:p>
        </w:tc>
      </w:tr>
      <w:tr w:rsidR="00AB4C1D" w14:paraId="7A63AAD3" w14:textId="77777777" w:rsidTr="00DA7EA1">
        <w:trPr>
          <w:trHeight w:val="5040"/>
        </w:trPr>
        <w:tc>
          <w:tcPr>
            <w:tcW w:w="1828" w:type="dxa"/>
          </w:tcPr>
          <w:p w14:paraId="6427A7A4" w14:textId="77777777" w:rsidR="00AB4C1D" w:rsidRPr="000B703F" w:rsidRDefault="00AB4C1D" w:rsidP="000B703F">
            <w:pPr>
              <w:rPr>
                <w:rFonts w:ascii="Times New Roman" w:hAnsi="Times New Roman" w:cs="Times New Roman"/>
                <w:sz w:val="20"/>
                <w:szCs w:val="20"/>
              </w:rPr>
            </w:pPr>
            <w:r w:rsidRPr="000B703F">
              <w:rPr>
                <w:rFonts w:ascii="Times New Roman" w:hAnsi="Times New Roman" w:cs="Times New Roman"/>
                <w:sz w:val="20"/>
                <w:szCs w:val="20"/>
              </w:rPr>
              <w:lastRenderedPageBreak/>
              <w:t>Emeritus Ranks for Non-Tenure Track Faculty</w:t>
            </w:r>
          </w:p>
        </w:tc>
        <w:tc>
          <w:tcPr>
            <w:tcW w:w="939" w:type="dxa"/>
          </w:tcPr>
          <w:p w14:paraId="60572441" w14:textId="77777777" w:rsidR="00AB4C1D" w:rsidRDefault="00AB4C1D" w:rsidP="000B703F">
            <w:pPr>
              <w:rPr>
                <w:rFonts w:ascii="Times New Roman" w:hAnsi="Times New Roman" w:cs="Times New Roman"/>
                <w:sz w:val="20"/>
                <w:szCs w:val="20"/>
              </w:rPr>
            </w:pPr>
            <w:r w:rsidRPr="000B703F">
              <w:rPr>
                <w:rFonts w:ascii="Times New Roman" w:hAnsi="Times New Roman" w:cs="Times New Roman"/>
                <w:sz w:val="20"/>
                <w:szCs w:val="20"/>
              </w:rPr>
              <w:t>LOA #6</w:t>
            </w:r>
            <w:r w:rsidRPr="000B703F">
              <w:rPr>
                <w:rFonts w:ascii="Times New Roman" w:hAnsi="Times New Roman" w:cs="Times New Roman"/>
                <w:sz w:val="20"/>
                <w:szCs w:val="20"/>
              </w:rPr>
              <w:br/>
            </w:r>
            <w:r w:rsidRPr="000B703F">
              <w:rPr>
                <w:rFonts w:ascii="Times New Roman" w:hAnsi="Times New Roman" w:cs="Times New Roman"/>
                <w:sz w:val="20"/>
                <w:szCs w:val="20"/>
              </w:rPr>
              <w:br/>
            </w:r>
            <w:r w:rsidRPr="000B703F">
              <w:rPr>
                <w:rFonts w:ascii="Times New Roman" w:hAnsi="Times New Roman" w:cs="Times New Roman"/>
                <w:sz w:val="20"/>
                <w:szCs w:val="20"/>
              </w:rPr>
              <w:br/>
            </w:r>
            <w:r w:rsidRPr="000B703F">
              <w:rPr>
                <w:rFonts w:ascii="Times New Roman" w:hAnsi="Times New Roman" w:cs="Times New Roman"/>
                <w:sz w:val="20"/>
                <w:szCs w:val="20"/>
              </w:rPr>
              <w:br/>
            </w:r>
            <w:r w:rsidRPr="000B703F">
              <w:rPr>
                <w:rFonts w:ascii="Times New Roman" w:hAnsi="Times New Roman" w:cs="Times New Roman"/>
                <w:sz w:val="20"/>
                <w:szCs w:val="20"/>
              </w:rPr>
              <w:br/>
            </w:r>
          </w:p>
          <w:p w14:paraId="0A16BE1D" w14:textId="77777777" w:rsidR="00AB4C1D" w:rsidRPr="000B703F" w:rsidRDefault="00AB4C1D" w:rsidP="000B703F">
            <w:pPr>
              <w:rPr>
                <w:rFonts w:ascii="Times New Roman" w:hAnsi="Times New Roman" w:cs="Times New Roman"/>
                <w:sz w:val="20"/>
                <w:szCs w:val="20"/>
              </w:rPr>
            </w:pPr>
            <w:r w:rsidRPr="000B703F">
              <w:rPr>
                <w:rFonts w:ascii="Times New Roman" w:hAnsi="Times New Roman" w:cs="Times New Roman"/>
                <w:sz w:val="20"/>
                <w:szCs w:val="20"/>
              </w:rPr>
              <w:br/>
            </w:r>
            <w:r w:rsidRPr="000B703F">
              <w:rPr>
                <w:rFonts w:ascii="Times New Roman" w:hAnsi="Times New Roman" w:cs="Times New Roman"/>
                <w:sz w:val="20"/>
                <w:szCs w:val="20"/>
              </w:rPr>
              <w:br/>
              <w:t>Faculty Senate Report May 22, 2016</w:t>
            </w:r>
          </w:p>
        </w:tc>
        <w:tc>
          <w:tcPr>
            <w:tcW w:w="528" w:type="dxa"/>
          </w:tcPr>
          <w:p w14:paraId="2588129D" w14:textId="77777777" w:rsidR="00AB4C1D" w:rsidRDefault="00AB4C1D" w:rsidP="000B703F">
            <w:pPr>
              <w:rPr>
                <w:rFonts w:ascii="Times New Roman" w:hAnsi="Times New Roman" w:cs="Times New Roman"/>
                <w:sz w:val="20"/>
                <w:szCs w:val="20"/>
              </w:rPr>
            </w:pPr>
            <w:r w:rsidRPr="000B703F">
              <w:rPr>
                <w:rFonts w:ascii="Times New Roman" w:hAnsi="Times New Roman" w:cs="Times New Roman"/>
                <w:sz w:val="20"/>
                <w:szCs w:val="20"/>
              </w:rPr>
              <w:t>74</w:t>
            </w:r>
            <w:r w:rsidRPr="000B703F">
              <w:rPr>
                <w:rFonts w:ascii="Times New Roman" w:hAnsi="Times New Roman" w:cs="Times New Roman"/>
                <w:sz w:val="20"/>
                <w:szCs w:val="20"/>
              </w:rPr>
              <w:br/>
            </w:r>
            <w:r w:rsidRPr="000B703F">
              <w:rPr>
                <w:rFonts w:ascii="Times New Roman" w:hAnsi="Times New Roman" w:cs="Times New Roman"/>
                <w:sz w:val="20"/>
                <w:szCs w:val="20"/>
              </w:rPr>
              <w:br/>
            </w:r>
          </w:p>
          <w:p w14:paraId="703ECDB9" w14:textId="77777777" w:rsidR="00AB4C1D" w:rsidRDefault="00AB4C1D" w:rsidP="000B703F">
            <w:pPr>
              <w:rPr>
                <w:rFonts w:ascii="Times New Roman" w:hAnsi="Times New Roman" w:cs="Times New Roman"/>
                <w:sz w:val="20"/>
                <w:szCs w:val="20"/>
              </w:rPr>
            </w:pPr>
          </w:p>
          <w:p w14:paraId="3467375B" w14:textId="77777777" w:rsidR="00AB4C1D" w:rsidRDefault="00AB4C1D" w:rsidP="000B703F">
            <w:pPr>
              <w:rPr>
                <w:rFonts w:ascii="Times New Roman" w:hAnsi="Times New Roman" w:cs="Times New Roman"/>
                <w:sz w:val="20"/>
                <w:szCs w:val="20"/>
              </w:rPr>
            </w:pPr>
          </w:p>
          <w:p w14:paraId="76C36F5A" w14:textId="77777777" w:rsidR="00AB4C1D" w:rsidRDefault="00AB4C1D" w:rsidP="000B703F">
            <w:pPr>
              <w:rPr>
                <w:rFonts w:ascii="Times New Roman" w:hAnsi="Times New Roman" w:cs="Times New Roman"/>
                <w:sz w:val="20"/>
                <w:szCs w:val="20"/>
              </w:rPr>
            </w:pPr>
          </w:p>
          <w:p w14:paraId="4293D2F8" w14:textId="77777777" w:rsidR="00AB4C1D" w:rsidRDefault="00AB4C1D" w:rsidP="000B703F">
            <w:pPr>
              <w:rPr>
                <w:rFonts w:ascii="Times New Roman" w:hAnsi="Times New Roman" w:cs="Times New Roman"/>
                <w:sz w:val="20"/>
                <w:szCs w:val="20"/>
              </w:rPr>
            </w:pPr>
          </w:p>
          <w:p w14:paraId="3C1156ED" w14:textId="77777777" w:rsidR="00AB4C1D" w:rsidRPr="000B703F" w:rsidRDefault="00AB4C1D" w:rsidP="000B703F">
            <w:pPr>
              <w:rPr>
                <w:rFonts w:ascii="Times New Roman" w:hAnsi="Times New Roman" w:cs="Times New Roman"/>
                <w:sz w:val="20"/>
                <w:szCs w:val="20"/>
              </w:rPr>
            </w:pPr>
            <w:r w:rsidRPr="000B703F">
              <w:rPr>
                <w:rFonts w:ascii="Times New Roman" w:hAnsi="Times New Roman" w:cs="Times New Roman"/>
                <w:sz w:val="20"/>
                <w:szCs w:val="20"/>
              </w:rPr>
              <w:br/>
              <w:t>92</w:t>
            </w:r>
          </w:p>
        </w:tc>
        <w:tc>
          <w:tcPr>
            <w:tcW w:w="3545" w:type="dxa"/>
          </w:tcPr>
          <w:p w14:paraId="00408BFB" w14:textId="77777777" w:rsidR="00AB4C1D" w:rsidRPr="000B703F" w:rsidRDefault="00AB4C1D" w:rsidP="000B703F">
            <w:pPr>
              <w:rPr>
                <w:rFonts w:ascii="Times New Roman" w:hAnsi="Times New Roman" w:cs="Times New Roman"/>
                <w:sz w:val="20"/>
                <w:szCs w:val="20"/>
              </w:rPr>
            </w:pPr>
            <w:r w:rsidRPr="000B703F">
              <w:rPr>
                <w:rFonts w:ascii="Times New Roman" w:hAnsi="Times New Roman" w:cs="Times New Roman"/>
                <w:sz w:val="20"/>
                <w:szCs w:val="20"/>
              </w:rPr>
              <w:t>Eligibility of NTT faculty for emeritus rank.</w:t>
            </w:r>
            <w:r w:rsidRPr="000B703F">
              <w:rPr>
                <w:rFonts w:ascii="Times New Roman" w:hAnsi="Times New Roman" w:cs="Times New Roman"/>
                <w:sz w:val="20"/>
                <w:szCs w:val="20"/>
              </w:rPr>
              <w:br/>
            </w:r>
            <w:r w:rsidRPr="000B703F">
              <w:rPr>
                <w:rFonts w:ascii="Times New Roman" w:hAnsi="Times New Roman" w:cs="Times New Roman"/>
                <w:sz w:val="20"/>
                <w:szCs w:val="20"/>
              </w:rPr>
              <w:br/>
            </w:r>
            <w:r w:rsidRPr="000B703F">
              <w:rPr>
                <w:rFonts w:ascii="Times New Roman" w:hAnsi="Times New Roman" w:cs="Times New Roman"/>
                <w:sz w:val="20"/>
                <w:szCs w:val="20"/>
              </w:rPr>
              <w:br/>
            </w:r>
            <w:r w:rsidRPr="000B703F">
              <w:rPr>
                <w:rFonts w:ascii="Times New Roman" w:hAnsi="Times New Roman" w:cs="Times New Roman"/>
                <w:sz w:val="20"/>
                <w:szCs w:val="20"/>
              </w:rPr>
              <w:br/>
            </w:r>
            <w:r w:rsidRPr="000B703F">
              <w:rPr>
                <w:rFonts w:ascii="Times New Roman" w:hAnsi="Times New Roman" w:cs="Times New Roman"/>
                <w:sz w:val="20"/>
                <w:szCs w:val="20"/>
              </w:rPr>
              <w:br/>
            </w:r>
            <w:r w:rsidRPr="000B703F">
              <w:rPr>
                <w:rFonts w:ascii="Times New Roman" w:hAnsi="Times New Roman" w:cs="Times New Roman"/>
                <w:sz w:val="20"/>
                <w:szCs w:val="20"/>
              </w:rPr>
              <w:br/>
            </w:r>
            <w:r w:rsidRPr="000B703F">
              <w:rPr>
                <w:rFonts w:ascii="Times New Roman" w:hAnsi="Times New Roman" w:cs="Times New Roman"/>
                <w:sz w:val="20"/>
                <w:szCs w:val="20"/>
              </w:rPr>
              <w:br/>
              <w:t>From Faculty Senate Report May 22, 2016:</w:t>
            </w:r>
            <w:r w:rsidRPr="000B703F">
              <w:rPr>
                <w:rFonts w:ascii="Times New Roman" w:hAnsi="Times New Roman" w:cs="Times New Roman"/>
                <w:sz w:val="20"/>
                <w:szCs w:val="20"/>
              </w:rPr>
              <w:br/>
              <w:t>3.   The University should ensure that</w:t>
            </w:r>
            <w:r w:rsidRPr="000B703F">
              <w:rPr>
                <w:rFonts w:ascii="Times New Roman" w:hAnsi="Times New Roman" w:cs="Times New Roman"/>
                <w:b/>
                <w:bCs/>
                <w:sz w:val="20"/>
                <w:szCs w:val="20"/>
              </w:rPr>
              <w:t xml:space="preserve"> units within the University have approved guidelines in place regarding consideration for promotion to emeritus status</w:t>
            </w:r>
            <w:r w:rsidRPr="000B703F">
              <w:rPr>
                <w:rFonts w:ascii="Times New Roman" w:hAnsi="Times New Roman" w:cs="Times New Roman"/>
                <w:sz w:val="20"/>
                <w:szCs w:val="20"/>
              </w:rPr>
              <w:t>. This should include: (1) criteria for assessing outstanding performance and (2) identification of unit decision making bodies for emeritus rank consideration, and (3) other appropriate process elements for a fair and consistent review process.</w:t>
            </w:r>
          </w:p>
        </w:tc>
        <w:tc>
          <w:tcPr>
            <w:tcW w:w="1260" w:type="dxa"/>
          </w:tcPr>
          <w:p w14:paraId="4746D368" w14:textId="77777777" w:rsidR="00AB4C1D" w:rsidRPr="000B703F" w:rsidRDefault="00AB4C1D" w:rsidP="000B703F">
            <w:pPr>
              <w:rPr>
                <w:rFonts w:ascii="Times New Roman" w:hAnsi="Times New Roman" w:cs="Times New Roman"/>
                <w:sz w:val="20"/>
                <w:szCs w:val="20"/>
              </w:rPr>
            </w:pPr>
            <w:r w:rsidRPr="000B703F">
              <w:rPr>
                <w:rFonts w:ascii="Times New Roman" w:hAnsi="Times New Roman" w:cs="Times New Roman"/>
                <w:sz w:val="20"/>
                <w:szCs w:val="20"/>
              </w:rPr>
              <w:t>P&amp;T Guidelines</w:t>
            </w:r>
          </w:p>
        </w:tc>
        <w:tc>
          <w:tcPr>
            <w:tcW w:w="5768" w:type="dxa"/>
          </w:tcPr>
          <w:p w14:paraId="0329119B" w14:textId="77777777" w:rsidR="00AB4C1D" w:rsidRPr="000B703F" w:rsidRDefault="00AB4C1D" w:rsidP="000B703F">
            <w:pPr>
              <w:rPr>
                <w:rFonts w:ascii="Times New Roman" w:hAnsi="Times New Roman" w:cs="Times New Roman"/>
                <w:sz w:val="20"/>
                <w:szCs w:val="20"/>
              </w:rPr>
            </w:pPr>
            <w:r w:rsidRPr="000B703F">
              <w:rPr>
                <w:rFonts w:ascii="Times New Roman" w:hAnsi="Times New Roman" w:cs="Times New Roman"/>
                <w:sz w:val="20"/>
                <w:szCs w:val="20"/>
              </w:rPr>
              <w:t>• Criteria for assessing outstanding performance for TTF and NTTF.</w:t>
            </w:r>
            <w:r w:rsidRPr="000B703F">
              <w:rPr>
                <w:rFonts w:ascii="Times New Roman" w:hAnsi="Times New Roman" w:cs="Times New Roman"/>
                <w:sz w:val="20"/>
                <w:szCs w:val="20"/>
              </w:rPr>
              <w:br/>
              <w:t>• Identification of unit decision making bodies for emeritus rank consideration</w:t>
            </w:r>
            <w:r w:rsidRPr="000B703F">
              <w:rPr>
                <w:rFonts w:ascii="Times New Roman" w:hAnsi="Times New Roman" w:cs="Times New Roman"/>
                <w:sz w:val="20"/>
                <w:szCs w:val="20"/>
              </w:rPr>
              <w:br/>
              <w:t>• Process and procedures for the development and evaluation of emeritus requests.</w:t>
            </w:r>
          </w:p>
        </w:tc>
        <w:tc>
          <w:tcPr>
            <w:tcW w:w="3887" w:type="dxa"/>
            <w:shd w:val="clear" w:color="auto" w:fill="C9F296"/>
          </w:tcPr>
          <w:p w14:paraId="08F00104" w14:textId="3DD7F31F" w:rsidR="00AB4C1D" w:rsidRPr="000B703F" w:rsidRDefault="003E11FE" w:rsidP="000B703F">
            <w:pPr>
              <w:rPr>
                <w:rFonts w:ascii="Times New Roman" w:hAnsi="Times New Roman" w:cs="Times New Roman"/>
                <w:sz w:val="20"/>
                <w:szCs w:val="20"/>
              </w:rPr>
            </w:pPr>
            <w:r>
              <w:rPr>
                <w:rFonts w:ascii="Times New Roman" w:hAnsi="Times New Roman" w:cs="Times New Roman"/>
                <w:sz w:val="20"/>
                <w:szCs w:val="20"/>
              </w:rPr>
              <w:t>To be developed by department.</w:t>
            </w:r>
          </w:p>
        </w:tc>
      </w:tr>
      <w:tr w:rsidR="00AB4C1D" w14:paraId="738B6129" w14:textId="77777777" w:rsidTr="009003F8">
        <w:trPr>
          <w:trHeight w:val="4176"/>
        </w:trPr>
        <w:tc>
          <w:tcPr>
            <w:tcW w:w="1828" w:type="dxa"/>
          </w:tcPr>
          <w:p w14:paraId="5C9D5F94" w14:textId="77777777" w:rsidR="00AB4C1D" w:rsidRPr="000B703F" w:rsidRDefault="00AB4C1D" w:rsidP="000B703F">
            <w:pPr>
              <w:rPr>
                <w:rFonts w:ascii="Times New Roman" w:hAnsi="Times New Roman" w:cs="Times New Roman"/>
                <w:sz w:val="20"/>
                <w:szCs w:val="20"/>
              </w:rPr>
            </w:pPr>
            <w:r w:rsidRPr="000B703F">
              <w:rPr>
                <w:rFonts w:ascii="Times New Roman" w:hAnsi="Times New Roman" w:cs="Times New Roman"/>
                <w:sz w:val="20"/>
                <w:szCs w:val="20"/>
              </w:rPr>
              <w:t>Salary and Retirement</w:t>
            </w:r>
            <w:r w:rsidRPr="000B703F">
              <w:rPr>
                <w:rFonts w:ascii="Times New Roman" w:hAnsi="Times New Roman" w:cs="Times New Roman"/>
                <w:sz w:val="20"/>
                <w:szCs w:val="20"/>
              </w:rPr>
              <w:br/>
              <w:t>(sabbatical)</w:t>
            </w:r>
          </w:p>
        </w:tc>
        <w:tc>
          <w:tcPr>
            <w:tcW w:w="939" w:type="dxa"/>
          </w:tcPr>
          <w:p w14:paraId="1C68A595" w14:textId="77777777" w:rsidR="00AB4C1D" w:rsidRPr="000B703F" w:rsidRDefault="00AB4C1D" w:rsidP="000B703F">
            <w:pPr>
              <w:rPr>
                <w:rFonts w:ascii="Times New Roman" w:hAnsi="Times New Roman" w:cs="Times New Roman"/>
                <w:sz w:val="20"/>
                <w:szCs w:val="20"/>
              </w:rPr>
            </w:pPr>
            <w:r>
              <w:rPr>
                <w:rFonts w:ascii="Times New Roman" w:hAnsi="Times New Roman" w:cs="Times New Roman"/>
                <w:sz w:val="20"/>
                <w:szCs w:val="20"/>
              </w:rPr>
              <w:t>30.</w:t>
            </w:r>
            <w:r w:rsidRPr="000B703F">
              <w:rPr>
                <w:rFonts w:ascii="Times New Roman" w:hAnsi="Times New Roman" w:cs="Times New Roman"/>
                <w:sz w:val="20"/>
                <w:szCs w:val="20"/>
              </w:rPr>
              <w:t>8</w:t>
            </w:r>
          </w:p>
        </w:tc>
        <w:tc>
          <w:tcPr>
            <w:tcW w:w="528" w:type="dxa"/>
          </w:tcPr>
          <w:p w14:paraId="75A4FF6C" w14:textId="77777777" w:rsidR="00AB4C1D" w:rsidRPr="000B703F" w:rsidRDefault="00AB4C1D" w:rsidP="000B703F">
            <w:pPr>
              <w:rPr>
                <w:rFonts w:ascii="Times New Roman" w:hAnsi="Times New Roman" w:cs="Times New Roman"/>
                <w:sz w:val="20"/>
                <w:szCs w:val="20"/>
              </w:rPr>
            </w:pPr>
            <w:r w:rsidRPr="000B703F">
              <w:rPr>
                <w:rFonts w:ascii="Times New Roman" w:hAnsi="Times New Roman" w:cs="Times New Roman"/>
                <w:sz w:val="20"/>
                <w:szCs w:val="20"/>
              </w:rPr>
              <w:t>51</w:t>
            </w:r>
          </w:p>
        </w:tc>
        <w:tc>
          <w:tcPr>
            <w:tcW w:w="3545" w:type="dxa"/>
          </w:tcPr>
          <w:p w14:paraId="55E7B836" w14:textId="77777777" w:rsidR="00AB4C1D" w:rsidRPr="000B703F" w:rsidRDefault="00AB4C1D" w:rsidP="000B703F">
            <w:pPr>
              <w:rPr>
                <w:rFonts w:ascii="Times New Roman" w:hAnsi="Times New Roman" w:cs="Times New Roman"/>
                <w:sz w:val="20"/>
                <w:szCs w:val="20"/>
              </w:rPr>
            </w:pPr>
            <w:r w:rsidRPr="000B703F">
              <w:rPr>
                <w:rFonts w:ascii="Times New Roman" w:hAnsi="Times New Roman" w:cs="Times New Roman"/>
                <w:sz w:val="20"/>
                <w:szCs w:val="20"/>
              </w:rPr>
              <w:t xml:space="preserve">Effective September 16, 2017, 9-month academic-ranked faculty members on approved sabbatical leave will be paid as follows while on leave: a. For a one-term sabbatical: 85% of base salary; b. For a two-term sabbatical: 80% of base salary; and c. For a three-term (one academic year) sabbatical: 75% of base salary. </w:t>
            </w:r>
            <w:r w:rsidRPr="000B703F">
              <w:rPr>
                <w:rFonts w:ascii="Times New Roman" w:hAnsi="Times New Roman" w:cs="Times New Roman"/>
                <w:sz w:val="20"/>
                <w:szCs w:val="20"/>
              </w:rPr>
              <w:br/>
            </w:r>
            <w:r w:rsidRPr="000B703F">
              <w:rPr>
                <w:rFonts w:ascii="Times New Roman" w:hAnsi="Times New Roman" w:cs="Times New Roman"/>
                <w:sz w:val="20"/>
                <w:szCs w:val="20"/>
              </w:rPr>
              <w:br/>
              <w:t>Effective July 1, 2017, 12-month academic-ranked faculty members on approved sabbatical leave will be paid as follows while on leave: a. For a four-month sabbatical: 85% of base salary; b. For an eight-month sabbatical: 80% of base salary; and c. For a twelve-month sabbatical: 75% of base salary.</w:t>
            </w:r>
          </w:p>
        </w:tc>
        <w:tc>
          <w:tcPr>
            <w:tcW w:w="1260" w:type="dxa"/>
          </w:tcPr>
          <w:p w14:paraId="3592D1B3" w14:textId="77777777" w:rsidR="00AB4C1D" w:rsidRPr="000B703F" w:rsidRDefault="00AB4C1D" w:rsidP="000B703F">
            <w:pPr>
              <w:rPr>
                <w:rFonts w:ascii="Times New Roman" w:hAnsi="Times New Roman" w:cs="Times New Roman"/>
                <w:sz w:val="20"/>
                <w:szCs w:val="20"/>
              </w:rPr>
            </w:pPr>
            <w:r w:rsidRPr="000B703F">
              <w:rPr>
                <w:rFonts w:ascii="Times New Roman" w:hAnsi="Times New Roman" w:cs="Times New Roman"/>
                <w:sz w:val="20"/>
                <w:szCs w:val="20"/>
              </w:rPr>
              <w:t>Bylaws</w:t>
            </w:r>
          </w:p>
        </w:tc>
        <w:tc>
          <w:tcPr>
            <w:tcW w:w="5768" w:type="dxa"/>
          </w:tcPr>
          <w:p w14:paraId="5C8390F3" w14:textId="0B3C0544" w:rsidR="00AB4C1D" w:rsidRPr="000B703F" w:rsidRDefault="00AB4C1D" w:rsidP="00B44936">
            <w:pPr>
              <w:rPr>
                <w:rFonts w:ascii="Times New Roman" w:hAnsi="Times New Roman" w:cs="Times New Roman"/>
                <w:sz w:val="20"/>
                <w:szCs w:val="20"/>
              </w:rPr>
            </w:pPr>
            <w:r w:rsidRPr="000B703F">
              <w:rPr>
                <w:rFonts w:ascii="Times New Roman" w:hAnsi="Times New Roman" w:cs="Times New Roman"/>
                <w:sz w:val="20"/>
                <w:szCs w:val="20"/>
              </w:rPr>
              <w:t>No a</w:t>
            </w:r>
            <w:r w:rsidR="002B47E4">
              <w:rPr>
                <w:rFonts w:ascii="Times New Roman" w:hAnsi="Times New Roman" w:cs="Times New Roman"/>
                <w:sz w:val="20"/>
                <w:szCs w:val="20"/>
              </w:rPr>
              <w:t>dditional language is required.</w:t>
            </w:r>
          </w:p>
        </w:tc>
        <w:tc>
          <w:tcPr>
            <w:tcW w:w="3887" w:type="dxa"/>
            <w:shd w:val="clear" w:color="auto" w:fill="FFFF00"/>
          </w:tcPr>
          <w:p w14:paraId="00A92209" w14:textId="7C716936" w:rsidR="00AB4C1D" w:rsidRPr="000B703F" w:rsidRDefault="009003F8" w:rsidP="000B703F">
            <w:pPr>
              <w:rPr>
                <w:rFonts w:ascii="Times New Roman" w:hAnsi="Times New Roman" w:cs="Times New Roman"/>
                <w:sz w:val="20"/>
                <w:szCs w:val="20"/>
              </w:rPr>
            </w:pPr>
            <w:r>
              <w:rPr>
                <w:rFonts w:ascii="Times New Roman" w:hAnsi="Times New Roman" w:cs="Times New Roman"/>
                <w:sz w:val="20"/>
                <w:szCs w:val="20"/>
              </w:rPr>
              <w:t>May refer to CBA Article 30, Section 8, pg. 51</w:t>
            </w:r>
          </w:p>
        </w:tc>
      </w:tr>
      <w:tr w:rsidR="00AB4C1D" w14:paraId="42C87A61" w14:textId="77777777" w:rsidTr="009003F8">
        <w:trPr>
          <w:trHeight w:val="2160"/>
        </w:trPr>
        <w:tc>
          <w:tcPr>
            <w:tcW w:w="1828" w:type="dxa"/>
          </w:tcPr>
          <w:p w14:paraId="451B58B2" w14:textId="77777777" w:rsidR="00AB4C1D" w:rsidRPr="00E576A8" w:rsidRDefault="00AB4C1D" w:rsidP="00E576A8">
            <w:pPr>
              <w:rPr>
                <w:rFonts w:ascii="Times New Roman" w:hAnsi="Times New Roman" w:cs="Times New Roman"/>
                <w:sz w:val="20"/>
                <w:szCs w:val="20"/>
              </w:rPr>
            </w:pPr>
            <w:r w:rsidRPr="00E576A8">
              <w:rPr>
                <w:rFonts w:ascii="Times New Roman" w:hAnsi="Times New Roman" w:cs="Times New Roman"/>
                <w:sz w:val="20"/>
                <w:szCs w:val="20"/>
              </w:rPr>
              <w:lastRenderedPageBreak/>
              <w:t>Salary and Retirement</w:t>
            </w:r>
          </w:p>
        </w:tc>
        <w:tc>
          <w:tcPr>
            <w:tcW w:w="939" w:type="dxa"/>
          </w:tcPr>
          <w:p w14:paraId="45267690" w14:textId="77777777" w:rsidR="00AB4C1D" w:rsidRPr="00E576A8" w:rsidRDefault="00AB4C1D" w:rsidP="00E576A8">
            <w:pPr>
              <w:rPr>
                <w:rFonts w:ascii="Times New Roman" w:hAnsi="Times New Roman" w:cs="Times New Roman"/>
                <w:sz w:val="20"/>
                <w:szCs w:val="20"/>
              </w:rPr>
            </w:pPr>
            <w:r>
              <w:rPr>
                <w:rFonts w:ascii="Times New Roman" w:hAnsi="Times New Roman" w:cs="Times New Roman"/>
                <w:sz w:val="20"/>
                <w:szCs w:val="20"/>
              </w:rPr>
              <w:t>30.</w:t>
            </w:r>
            <w:r w:rsidRPr="00E576A8">
              <w:rPr>
                <w:rFonts w:ascii="Times New Roman" w:hAnsi="Times New Roman" w:cs="Times New Roman"/>
                <w:sz w:val="20"/>
                <w:szCs w:val="20"/>
              </w:rPr>
              <w:t>5</w:t>
            </w:r>
          </w:p>
        </w:tc>
        <w:tc>
          <w:tcPr>
            <w:tcW w:w="528" w:type="dxa"/>
          </w:tcPr>
          <w:p w14:paraId="6F9F3A3E" w14:textId="77777777" w:rsidR="00AB4C1D" w:rsidRPr="00E576A8" w:rsidRDefault="00AB4C1D" w:rsidP="00E576A8">
            <w:pPr>
              <w:rPr>
                <w:rFonts w:ascii="Times New Roman" w:hAnsi="Times New Roman" w:cs="Times New Roman"/>
                <w:sz w:val="20"/>
                <w:szCs w:val="20"/>
              </w:rPr>
            </w:pPr>
            <w:r w:rsidRPr="00E576A8">
              <w:rPr>
                <w:rFonts w:ascii="Times New Roman" w:hAnsi="Times New Roman" w:cs="Times New Roman"/>
                <w:sz w:val="20"/>
                <w:szCs w:val="20"/>
              </w:rPr>
              <w:t>49</w:t>
            </w:r>
          </w:p>
        </w:tc>
        <w:tc>
          <w:tcPr>
            <w:tcW w:w="3545" w:type="dxa"/>
          </w:tcPr>
          <w:p w14:paraId="4A8A44C0" w14:textId="77777777" w:rsidR="00AB4C1D" w:rsidRPr="00E576A8" w:rsidRDefault="00AB4C1D" w:rsidP="00E576A8">
            <w:pPr>
              <w:rPr>
                <w:rFonts w:ascii="Times New Roman" w:hAnsi="Times New Roman" w:cs="Times New Roman"/>
                <w:sz w:val="20"/>
                <w:szCs w:val="20"/>
              </w:rPr>
            </w:pPr>
            <w:r w:rsidRPr="00E576A8">
              <w:rPr>
                <w:rFonts w:ascii="Times New Roman" w:hAnsi="Times New Roman" w:cs="Times New Roman"/>
                <w:sz w:val="20"/>
                <w:szCs w:val="20"/>
              </w:rPr>
              <w:t>4. Summer Session Minimum Salary Rates. Nine-month faculty employed to teach during Summer Term will be paid for Summer Term teaching at a per-credit-hour rate that is no less than 2.5% of the member’s base nine-month salary rate.</w:t>
            </w:r>
          </w:p>
        </w:tc>
        <w:tc>
          <w:tcPr>
            <w:tcW w:w="1260" w:type="dxa"/>
          </w:tcPr>
          <w:p w14:paraId="357C46B4" w14:textId="77777777" w:rsidR="00AB4C1D" w:rsidRPr="00E576A8" w:rsidRDefault="00AB4C1D" w:rsidP="00E576A8">
            <w:pPr>
              <w:rPr>
                <w:rFonts w:ascii="Times New Roman" w:hAnsi="Times New Roman" w:cs="Times New Roman"/>
                <w:sz w:val="20"/>
                <w:szCs w:val="20"/>
              </w:rPr>
            </w:pPr>
            <w:r w:rsidRPr="00E576A8">
              <w:rPr>
                <w:rFonts w:ascii="Times New Roman" w:hAnsi="Times New Roman" w:cs="Times New Roman"/>
                <w:sz w:val="20"/>
                <w:szCs w:val="20"/>
              </w:rPr>
              <w:t>Bylaws</w:t>
            </w:r>
          </w:p>
        </w:tc>
        <w:tc>
          <w:tcPr>
            <w:tcW w:w="5768" w:type="dxa"/>
          </w:tcPr>
          <w:p w14:paraId="7BB12FC5" w14:textId="77777777" w:rsidR="00AB4C1D" w:rsidRPr="00E576A8" w:rsidRDefault="00AB4C1D" w:rsidP="00E576A8">
            <w:pPr>
              <w:rPr>
                <w:rFonts w:ascii="Times New Roman" w:hAnsi="Times New Roman" w:cs="Times New Roman"/>
                <w:sz w:val="20"/>
                <w:szCs w:val="20"/>
              </w:rPr>
            </w:pPr>
            <w:r w:rsidRPr="00E576A8">
              <w:rPr>
                <w:rFonts w:ascii="Times New Roman" w:hAnsi="Times New Roman" w:cs="Times New Roman"/>
                <w:sz w:val="20"/>
                <w:szCs w:val="20"/>
              </w:rPr>
              <w:t>No additional language is required. May reference article.</w:t>
            </w:r>
          </w:p>
        </w:tc>
        <w:tc>
          <w:tcPr>
            <w:tcW w:w="3887" w:type="dxa"/>
            <w:shd w:val="clear" w:color="auto" w:fill="FFFF00"/>
          </w:tcPr>
          <w:p w14:paraId="4517F2C0" w14:textId="3432AC26" w:rsidR="00AB4C1D" w:rsidRPr="00E576A8" w:rsidRDefault="00AB4C1D" w:rsidP="00E576A8">
            <w:pPr>
              <w:rPr>
                <w:rFonts w:ascii="Times New Roman" w:hAnsi="Times New Roman" w:cs="Times New Roman"/>
                <w:sz w:val="20"/>
                <w:szCs w:val="20"/>
              </w:rPr>
            </w:pPr>
            <w:r w:rsidRPr="00E576A8">
              <w:rPr>
                <w:rFonts w:ascii="Times New Roman" w:hAnsi="Times New Roman" w:cs="Times New Roman"/>
                <w:sz w:val="20"/>
                <w:szCs w:val="20"/>
              </w:rPr>
              <w:t> </w:t>
            </w:r>
            <w:r w:rsidR="009003F8">
              <w:rPr>
                <w:rFonts w:ascii="Times New Roman" w:hAnsi="Times New Roman" w:cs="Times New Roman"/>
                <w:sz w:val="20"/>
                <w:szCs w:val="20"/>
              </w:rPr>
              <w:t>May refer to CBA Article 30, Section 5, pg. 49</w:t>
            </w:r>
          </w:p>
        </w:tc>
      </w:tr>
      <w:tr w:rsidR="00AB4C1D" w14:paraId="6E9349CD" w14:textId="77777777" w:rsidTr="009003F8">
        <w:trPr>
          <w:trHeight w:val="5760"/>
        </w:trPr>
        <w:tc>
          <w:tcPr>
            <w:tcW w:w="1828" w:type="dxa"/>
          </w:tcPr>
          <w:p w14:paraId="200BB1C8" w14:textId="77777777" w:rsidR="00AB4C1D" w:rsidRPr="00E576A8" w:rsidRDefault="00AB4C1D" w:rsidP="00E576A8">
            <w:pPr>
              <w:rPr>
                <w:rFonts w:ascii="Times New Roman" w:hAnsi="Times New Roman" w:cs="Times New Roman"/>
                <w:sz w:val="20"/>
                <w:szCs w:val="20"/>
              </w:rPr>
            </w:pPr>
            <w:r w:rsidRPr="00E576A8">
              <w:rPr>
                <w:rFonts w:ascii="Times New Roman" w:hAnsi="Times New Roman" w:cs="Times New Roman"/>
                <w:sz w:val="20"/>
                <w:szCs w:val="20"/>
              </w:rPr>
              <w:t>Insurance</w:t>
            </w:r>
          </w:p>
        </w:tc>
        <w:tc>
          <w:tcPr>
            <w:tcW w:w="939" w:type="dxa"/>
          </w:tcPr>
          <w:p w14:paraId="7BB017A0" w14:textId="77777777" w:rsidR="00AB4C1D" w:rsidRPr="00E576A8" w:rsidRDefault="00AB4C1D" w:rsidP="00E576A8">
            <w:pPr>
              <w:rPr>
                <w:rFonts w:ascii="Times New Roman" w:hAnsi="Times New Roman" w:cs="Times New Roman"/>
                <w:sz w:val="20"/>
                <w:szCs w:val="20"/>
              </w:rPr>
            </w:pPr>
            <w:r>
              <w:rPr>
                <w:rFonts w:ascii="Times New Roman" w:hAnsi="Times New Roman" w:cs="Times New Roman"/>
                <w:sz w:val="20"/>
                <w:szCs w:val="20"/>
              </w:rPr>
              <w:t>31.</w:t>
            </w:r>
            <w:r w:rsidRPr="00E576A8">
              <w:rPr>
                <w:rFonts w:ascii="Times New Roman" w:hAnsi="Times New Roman" w:cs="Times New Roman"/>
                <w:sz w:val="20"/>
                <w:szCs w:val="20"/>
              </w:rPr>
              <w:t>2</w:t>
            </w:r>
          </w:p>
        </w:tc>
        <w:tc>
          <w:tcPr>
            <w:tcW w:w="528" w:type="dxa"/>
          </w:tcPr>
          <w:p w14:paraId="2D874A64" w14:textId="77777777" w:rsidR="00AB4C1D" w:rsidRPr="00E576A8" w:rsidRDefault="00AB4C1D" w:rsidP="00E576A8">
            <w:pPr>
              <w:rPr>
                <w:rFonts w:ascii="Times New Roman" w:hAnsi="Times New Roman" w:cs="Times New Roman"/>
                <w:sz w:val="20"/>
                <w:szCs w:val="20"/>
              </w:rPr>
            </w:pPr>
            <w:r w:rsidRPr="00E576A8">
              <w:rPr>
                <w:rFonts w:ascii="Times New Roman" w:hAnsi="Times New Roman" w:cs="Times New Roman"/>
                <w:sz w:val="20"/>
                <w:szCs w:val="20"/>
              </w:rPr>
              <w:t>2</w:t>
            </w:r>
          </w:p>
        </w:tc>
        <w:tc>
          <w:tcPr>
            <w:tcW w:w="3545" w:type="dxa"/>
          </w:tcPr>
          <w:p w14:paraId="3A3D9C25" w14:textId="77777777" w:rsidR="00AB4C1D" w:rsidRPr="00E576A8" w:rsidRDefault="00AB4C1D" w:rsidP="00E576A8">
            <w:pPr>
              <w:rPr>
                <w:rFonts w:ascii="Times New Roman" w:hAnsi="Times New Roman" w:cs="Times New Roman"/>
                <w:sz w:val="20"/>
                <w:szCs w:val="20"/>
              </w:rPr>
            </w:pPr>
            <w:r w:rsidRPr="00E576A8">
              <w:rPr>
                <w:rFonts w:ascii="Times New Roman" w:hAnsi="Times New Roman" w:cs="Times New Roman"/>
                <w:sz w:val="20"/>
                <w:szCs w:val="20"/>
              </w:rPr>
              <w:t xml:space="preserve">(b) Bargaining unit members may enroll in the Sick Leave Bank at such times as employees are generally permitted to make or change employee benefit selections, including at the beginning of employment, during the annual open enrollment period, or due to a qualifying life event. New bargaining unit members will be provided information regarding the Sick Leave Bank at the time that they are PSU &amp; AAUP Agreement, 2015-19 page 53 provided other information regarding employee benefits. Bargaining unit members may also enroll in the Sick Leave Bank at any time that there is a call for donations as provided in paragraph 3(g) below. </w:t>
            </w:r>
            <w:r w:rsidRPr="00E576A8">
              <w:rPr>
                <w:rFonts w:ascii="Times New Roman" w:hAnsi="Times New Roman" w:cs="Times New Roman"/>
                <w:sz w:val="20"/>
                <w:szCs w:val="20"/>
              </w:rPr>
              <w:br/>
              <w:t>(c) Upon enrolling in the Sick Leave Bank, a bargaining unit member irrevocably pledges three hours of the member's accrued sick leave for contribution to the Sick Leave Bank, regardless of the member's FTE.</w:t>
            </w:r>
          </w:p>
        </w:tc>
        <w:tc>
          <w:tcPr>
            <w:tcW w:w="1260" w:type="dxa"/>
          </w:tcPr>
          <w:p w14:paraId="689C0BA9" w14:textId="77777777" w:rsidR="00AB4C1D" w:rsidRPr="00E576A8" w:rsidRDefault="00AB4C1D" w:rsidP="00E576A8">
            <w:pPr>
              <w:rPr>
                <w:rFonts w:ascii="Times New Roman" w:hAnsi="Times New Roman" w:cs="Times New Roman"/>
                <w:sz w:val="20"/>
                <w:szCs w:val="20"/>
              </w:rPr>
            </w:pPr>
            <w:r w:rsidRPr="00E576A8">
              <w:rPr>
                <w:rFonts w:ascii="Times New Roman" w:hAnsi="Times New Roman" w:cs="Times New Roman"/>
                <w:sz w:val="20"/>
                <w:szCs w:val="20"/>
              </w:rPr>
              <w:t>Bylaws</w:t>
            </w:r>
          </w:p>
        </w:tc>
        <w:tc>
          <w:tcPr>
            <w:tcW w:w="5768" w:type="dxa"/>
          </w:tcPr>
          <w:p w14:paraId="45783287" w14:textId="77777777" w:rsidR="00AB4C1D" w:rsidRPr="00E576A8" w:rsidRDefault="00AB4C1D" w:rsidP="00E576A8">
            <w:pPr>
              <w:rPr>
                <w:rFonts w:ascii="Times New Roman" w:hAnsi="Times New Roman" w:cs="Times New Roman"/>
                <w:sz w:val="20"/>
                <w:szCs w:val="20"/>
              </w:rPr>
            </w:pPr>
            <w:r w:rsidRPr="00E576A8">
              <w:rPr>
                <w:rFonts w:ascii="Times New Roman" w:hAnsi="Times New Roman" w:cs="Times New Roman"/>
                <w:sz w:val="20"/>
                <w:szCs w:val="20"/>
              </w:rPr>
              <w:t>No additional language is required. May reference article.</w:t>
            </w:r>
          </w:p>
        </w:tc>
        <w:tc>
          <w:tcPr>
            <w:tcW w:w="3887" w:type="dxa"/>
            <w:shd w:val="clear" w:color="auto" w:fill="FFFF00"/>
          </w:tcPr>
          <w:p w14:paraId="75B652CC" w14:textId="239489DD" w:rsidR="00AB4C1D" w:rsidRPr="00E576A8" w:rsidRDefault="00AB4C1D" w:rsidP="009003F8">
            <w:pPr>
              <w:rPr>
                <w:rFonts w:ascii="Times New Roman" w:hAnsi="Times New Roman" w:cs="Times New Roman"/>
                <w:sz w:val="20"/>
                <w:szCs w:val="20"/>
              </w:rPr>
            </w:pPr>
            <w:r w:rsidRPr="00E576A8">
              <w:rPr>
                <w:rFonts w:ascii="Times New Roman" w:hAnsi="Times New Roman" w:cs="Times New Roman"/>
                <w:sz w:val="20"/>
                <w:szCs w:val="20"/>
              </w:rPr>
              <w:t> </w:t>
            </w:r>
            <w:r w:rsidR="009003F8">
              <w:rPr>
                <w:rFonts w:ascii="Times New Roman" w:hAnsi="Times New Roman" w:cs="Times New Roman"/>
                <w:sz w:val="20"/>
                <w:szCs w:val="20"/>
              </w:rPr>
              <w:t>May refer to CBA Article 31, Section 2, pg. 2</w:t>
            </w:r>
          </w:p>
        </w:tc>
      </w:tr>
    </w:tbl>
    <w:p w14:paraId="73AB585B" w14:textId="77777777" w:rsidR="00CD6BE4" w:rsidRDefault="00B573B2"/>
    <w:sectPr w:rsidR="00CD6BE4" w:rsidSect="00034473">
      <w:headerReference w:type="even" r:id="rId11"/>
      <w:headerReference w:type="default" r:id="rId12"/>
      <w:footerReference w:type="even" r:id="rId13"/>
      <w:footerReference w:type="default" r:id="rId14"/>
      <w:headerReference w:type="first" r:id="rId15"/>
      <w:footerReference w:type="first" r:id="rId16"/>
      <w:pgSz w:w="20160" w:h="12240" w:orient="landscape" w:code="5"/>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A27ED" w14:textId="77777777" w:rsidR="00B573B2" w:rsidRDefault="00B573B2" w:rsidP="005904BD">
      <w:pPr>
        <w:spacing w:after="0" w:line="240" w:lineRule="auto"/>
      </w:pPr>
      <w:r>
        <w:separator/>
      </w:r>
    </w:p>
  </w:endnote>
  <w:endnote w:type="continuationSeparator" w:id="0">
    <w:p w14:paraId="5FC8FC2B" w14:textId="77777777" w:rsidR="00B573B2" w:rsidRDefault="00B573B2" w:rsidP="00590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222A3" w14:textId="77777777" w:rsidR="009B78D3" w:rsidRDefault="009B7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8879126"/>
      <w:docPartObj>
        <w:docPartGallery w:val="Page Numbers (Bottom of Page)"/>
        <w:docPartUnique/>
      </w:docPartObj>
    </w:sdtPr>
    <w:sdtEndPr>
      <w:rPr>
        <w:noProof/>
      </w:rPr>
    </w:sdtEndPr>
    <w:sdtContent>
      <w:p w14:paraId="2A798222" w14:textId="22993702" w:rsidR="00A33B08" w:rsidRDefault="00A33B08">
        <w:pPr>
          <w:pStyle w:val="Footer"/>
          <w:jc w:val="center"/>
        </w:pPr>
        <w:r>
          <w:fldChar w:fldCharType="begin"/>
        </w:r>
        <w:r>
          <w:instrText xml:space="preserve"> PAGE   \* MERGEFORMAT </w:instrText>
        </w:r>
        <w:r>
          <w:fldChar w:fldCharType="separate"/>
        </w:r>
        <w:r w:rsidR="00011B38">
          <w:rPr>
            <w:noProof/>
          </w:rPr>
          <w:t>9</w:t>
        </w:r>
        <w:r>
          <w:rPr>
            <w:noProof/>
          </w:rPr>
          <w:fldChar w:fldCharType="end"/>
        </w:r>
      </w:p>
    </w:sdtContent>
  </w:sdt>
  <w:p w14:paraId="6E16A8B1" w14:textId="77777777" w:rsidR="00B5461A" w:rsidRDefault="00B546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A44BB" w14:textId="77777777" w:rsidR="009B78D3" w:rsidRDefault="009B7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445A3" w14:textId="77777777" w:rsidR="00B573B2" w:rsidRDefault="00B573B2" w:rsidP="005904BD">
      <w:pPr>
        <w:spacing w:after="0" w:line="240" w:lineRule="auto"/>
      </w:pPr>
      <w:r>
        <w:separator/>
      </w:r>
    </w:p>
  </w:footnote>
  <w:footnote w:type="continuationSeparator" w:id="0">
    <w:p w14:paraId="2768602C" w14:textId="77777777" w:rsidR="00B573B2" w:rsidRDefault="00B573B2" w:rsidP="00590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7C4F1" w14:textId="77777777" w:rsidR="009B78D3" w:rsidRDefault="009B7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DCE72" w14:textId="2A8EC40D" w:rsidR="00D42ED4" w:rsidRDefault="00D42ED4" w:rsidP="00B9634D">
    <w:pPr>
      <w:spacing w:line="240" w:lineRule="auto"/>
      <w:jc w:val="center"/>
      <w:rPr>
        <w:rFonts w:ascii="Helvetica" w:hAnsi="Helvetica"/>
        <w:b/>
        <w:sz w:val="24"/>
      </w:rPr>
    </w:pPr>
    <w:r>
      <w:rPr>
        <w:rFonts w:ascii="Helvetica" w:hAnsi="Helvetica"/>
        <w:b/>
        <w:sz w:val="24"/>
      </w:rPr>
      <w:t>PSU-AAUP CBA List of Requirements</w:t>
    </w:r>
  </w:p>
  <w:p w14:paraId="49936E80" w14:textId="2A7ADC9A" w:rsidR="005904BD" w:rsidRPr="005904BD" w:rsidRDefault="00034473" w:rsidP="00B9634D">
    <w:pPr>
      <w:spacing w:line="240" w:lineRule="auto"/>
      <w:jc w:val="center"/>
      <w:rPr>
        <w:rFonts w:ascii="Helvetica" w:hAnsi="Helvetica"/>
        <w:b/>
        <w:sz w:val="24"/>
      </w:rPr>
    </w:pPr>
    <w:r>
      <w:rPr>
        <w:rFonts w:ascii="Helvetica" w:hAnsi="Helvetica"/>
        <w:b/>
        <w:sz w:val="24"/>
      </w:rPr>
      <w:t xml:space="preserve">Outline of Revisions </w:t>
    </w:r>
    <w:r w:rsidR="00FA2744">
      <w:rPr>
        <w:rFonts w:ascii="Helvetica" w:hAnsi="Helvetica"/>
        <w:b/>
        <w:sz w:val="24"/>
      </w:rPr>
      <w:t>Leading to Changes in</w:t>
    </w:r>
    <w:r w:rsidR="004917FD">
      <w:rPr>
        <w:rFonts w:ascii="Helvetica" w:hAnsi="Helvetica"/>
        <w:b/>
        <w:sz w:val="24"/>
      </w:rPr>
      <w:t xml:space="preserve"> Unit Governance Documents – </w:t>
    </w:r>
    <w:r w:rsidR="00200F11">
      <w:rPr>
        <w:rFonts w:ascii="Helvetica" w:hAnsi="Helvetica"/>
        <w:b/>
        <w:sz w:val="24"/>
      </w:rPr>
      <w:t>2/14/17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1054E" w14:textId="77777777" w:rsidR="009B78D3" w:rsidRDefault="009B7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9364C"/>
    <w:multiLevelType w:val="hybridMultilevel"/>
    <w:tmpl w:val="F3466FFA"/>
    <w:lvl w:ilvl="0" w:tplc="382A064A">
      <w:start w:val="1"/>
      <w:numFmt w:val="bullet"/>
      <w:lvlText w:val=""/>
      <w:lvlJc w:val="left"/>
      <w:pPr>
        <w:ind w:left="360" w:hanging="360"/>
      </w:pPr>
      <w:rPr>
        <w:rFonts w:ascii="Symbol" w:hAnsi="Symbol" w:hint="default"/>
        <w:sz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4BD"/>
    <w:rsid w:val="00011B38"/>
    <w:rsid w:val="00034473"/>
    <w:rsid w:val="00092463"/>
    <w:rsid w:val="000B703F"/>
    <w:rsid w:val="001067F8"/>
    <w:rsid w:val="001200BB"/>
    <w:rsid w:val="00200F11"/>
    <w:rsid w:val="00205796"/>
    <w:rsid w:val="00213299"/>
    <w:rsid w:val="002400A9"/>
    <w:rsid w:val="00290E6C"/>
    <w:rsid w:val="002B47E4"/>
    <w:rsid w:val="00351FFF"/>
    <w:rsid w:val="003E11FE"/>
    <w:rsid w:val="0040318B"/>
    <w:rsid w:val="00487D4A"/>
    <w:rsid w:val="004917FD"/>
    <w:rsid w:val="004B4070"/>
    <w:rsid w:val="004C0756"/>
    <w:rsid w:val="004D243F"/>
    <w:rsid w:val="0057355C"/>
    <w:rsid w:val="005904BD"/>
    <w:rsid w:val="00590CCE"/>
    <w:rsid w:val="005D12FF"/>
    <w:rsid w:val="005E01FF"/>
    <w:rsid w:val="0061522B"/>
    <w:rsid w:val="006328A2"/>
    <w:rsid w:val="006700B9"/>
    <w:rsid w:val="006C354E"/>
    <w:rsid w:val="006F08FE"/>
    <w:rsid w:val="007051CC"/>
    <w:rsid w:val="007100CF"/>
    <w:rsid w:val="00737BCA"/>
    <w:rsid w:val="007559FF"/>
    <w:rsid w:val="007561AE"/>
    <w:rsid w:val="007D20D4"/>
    <w:rsid w:val="007D698F"/>
    <w:rsid w:val="008578FD"/>
    <w:rsid w:val="00875986"/>
    <w:rsid w:val="0089012D"/>
    <w:rsid w:val="00890B71"/>
    <w:rsid w:val="008A16E7"/>
    <w:rsid w:val="008D6427"/>
    <w:rsid w:val="009003F8"/>
    <w:rsid w:val="00913381"/>
    <w:rsid w:val="0099357F"/>
    <w:rsid w:val="009B78D3"/>
    <w:rsid w:val="009C5FDA"/>
    <w:rsid w:val="009F2721"/>
    <w:rsid w:val="00A12404"/>
    <w:rsid w:val="00A33B08"/>
    <w:rsid w:val="00AB4C1D"/>
    <w:rsid w:val="00B227A3"/>
    <w:rsid w:val="00B44936"/>
    <w:rsid w:val="00B44FE4"/>
    <w:rsid w:val="00B461FE"/>
    <w:rsid w:val="00B5461A"/>
    <w:rsid w:val="00B573B2"/>
    <w:rsid w:val="00B7624C"/>
    <w:rsid w:val="00B85000"/>
    <w:rsid w:val="00B9634D"/>
    <w:rsid w:val="00C00E62"/>
    <w:rsid w:val="00C51A50"/>
    <w:rsid w:val="00CC7679"/>
    <w:rsid w:val="00D42ED4"/>
    <w:rsid w:val="00D45DE4"/>
    <w:rsid w:val="00D658C9"/>
    <w:rsid w:val="00D7138D"/>
    <w:rsid w:val="00DA7B5B"/>
    <w:rsid w:val="00DA7EA1"/>
    <w:rsid w:val="00DD4AC0"/>
    <w:rsid w:val="00DF0CC6"/>
    <w:rsid w:val="00E023E3"/>
    <w:rsid w:val="00E12225"/>
    <w:rsid w:val="00E576A8"/>
    <w:rsid w:val="00EF621D"/>
    <w:rsid w:val="00F254CF"/>
    <w:rsid w:val="00F86058"/>
    <w:rsid w:val="00FA2744"/>
    <w:rsid w:val="00FC13DD"/>
    <w:rsid w:val="00FC58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F7C56"/>
  <w15:chartTrackingRefBased/>
  <w15:docId w15:val="{E3610890-7B1B-471D-BA14-EAE5478E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0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0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4BD"/>
  </w:style>
  <w:style w:type="paragraph" w:styleId="Footer">
    <w:name w:val="footer"/>
    <w:basedOn w:val="Normal"/>
    <w:link w:val="FooterChar"/>
    <w:uiPriority w:val="99"/>
    <w:unhideWhenUsed/>
    <w:rsid w:val="00590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4BD"/>
  </w:style>
  <w:style w:type="character" w:styleId="Hyperlink">
    <w:name w:val="Hyperlink"/>
    <w:basedOn w:val="DefaultParagraphFont"/>
    <w:uiPriority w:val="99"/>
    <w:unhideWhenUsed/>
    <w:rsid w:val="00D658C9"/>
    <w:rPr>
      <w:color w:val="0563C1" w:themeColor="hyperlink"/>
      <w:u w:val="single"/>
    </w:rPr>
  </w:style>
  <w:style w:type="paragraph" w:styleId="BalloonText">
    <w:name w:val="Balloon Text"/>
    <w:basedOn w:val="Normal"/>
    <w:link w:val="BalloonTextChar"/>
    <w:uiPriority w:val="99"/>
    <w:semiHidden/>
    <w:unhideWhenUsed/>
    <w:rsid w:val="00890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71"/>
    <w:rPr>
      <w:rFonts w:ascii="Segoe UI" w:hAnsi="Segoe UI" w:cs="Segoe UI"/>
      <w:sz w:val="18"/>
      <w:szCs w:val="18"/>
    </w:rPr>
  </w:style>
  <w:style w:type="character" w:styleId="CommentReference">
    <w:name w:val="annotation reference"/>
    <w:basedOn w:val="DefaultParagraphFont"/>
    <w:uiPriority w:val="99"/>
    <w:semiHidden/>
    <w:unhideWhenUsed/>
    <w:rsid w:val="006C354E"/>
    <w:rPr>
      <w:sz w:val="16"/>
      <w:szCs w:val="16"/>
    </w:rPr>
  </w:style>
  <w:style w:type="paragraph" w:styleId="CommentText">
    <w:name w:val="annotation text"/>
    <w:basedOn w:val="Normal"/>
    <w:link w:val="CommentTextChar"/>
    <w:uiPriority w:val="99"/>
    <w:semiHidden/>
    <w:unhideWhenUsed/>
    <w:rsid w:val="006C354E"/>
    <w:pPr>
      <w:spacing w:line="240" w:lineRule="auto"/>
    </w:pPr>
    <w:rPr>
      <w:sz w:val="20"/>
      <w:szCs w:val="20"/>
    </w:rPr>
  </w:style>
  <w:style w:type="character" w:customStyle="1" w:styleId="CommentTextChar">
    <w:name w:val="Comment Text Char"/>
    <w:basedOn w:val="DefaultParagraphFont"/>
    <w:link w:val="CommentText"/>
    <w:uiPriority w:val="99"/>
    <w:semiHidden/>
    <w:rsid w:val="006C354E"/>
    <w:rPr>
      <w:sz w:val="20"/>
      <w:szCs w:val="20"/>
    </w:rPr>
  </w:style>
  <w:style w:type="paragraph" w:styleId="CommentSubject">
    <w:name w:val="annotation subject"/>
    <w:basedOn w:val="CommentText"/>
    <w:next w:val="CommentText"/>
    <w:link w:val="CommentSubjectChar"/>
    <w:uiPriority w:val="99"/>
    <w:semiHidden/>
    <w:unhideWhenUsed/>
    <w:rsid w:val="006C354E"/>
    <w:rPr>
      <w:b/>
      <w:bCs/>
    </w:rPr>
  </w:style>
  <w:style w:type="character" w:customStyle="1" w:styleId="CommentSubjectChar">
    <w:name w:val="Comment Subject Char"/>
    <w:basedOn w:val="CommentTextChar"/>
    <w:link w:val="CommentSubject"/>
    <w:uiPriority w:val="99"/>
    <w:semiHidden/>
    <w:rsid w:val="006C354E"/>
    <w:rPr>
      <w:b/>
      <w:bCs/>
      <w:sz w:val="20"/>
      <w:szCs w:val="20"/>
    </w:rPr>
  </w:style>
  <w:style w:type="character" w:customStyle="1" w:styleId="apple-converted-space">
    <w:name w:val="apple-converted-space"/>
    <w:basedOn w:val="DefaultParagraphFont"/>
    <w:rsid w:val="006C354E"/>
  </w:style>
  <w:style w:type="character" w:styleId="FollowedHyperlink">
    <w:name w:val="FollowedHyperlink"/>
    <w:basedOn w:val="DefaultParagraphFont"/>
    <w:uiPriority w:val="99"/>
    <w:semiHidden/>
    <w:unhideWhenUsed/>
    <w:rsid w:val="00C51A50"/>
    <w:rPr>
      <w:color w:val="954F72" w:themeColor="followedHyperlink"/>
      <w:u w:val="single"/>
    </w:rPr>
  </w:style>
  <w:style w:type="paragraph" w:styleId="Revision">
    <w:name w:val="Revision"/>
    <w:hidden/>
    <w:uiPriority w:val="99"/>
    <w:semiHidden/>
    <w:rsid w:val="00B461FE"/>
    <w:pPr>
      <w:spacing w:after="0" w:line="240" w:lineRule="auto"/>
    </w:pPr>
  </w:style>
  <w:style w:type="paragraph" w:styleId="ListParagraph">
    <w:name w:val="List Paragraph"/>
    <w:basedOn w:val="Normal"/>
    <w:uiPriority w:val="34"/>
    <w:qFormat/>
    <w:rsid w:val="00615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164114">
      <w:bodyDiv w:val="1"/>
      <w:marLeft w:val="0"/>
      <w:marRight w:val="0"/>
      <w:marTop w:val="0"/>
      <w:marBottom w:val="0"/>
      <w:divBdr>
        <w:top w:val="none" w:sz="0" w:space="0" w:color="auto"/>
        <w:left w:val="none" w:sz="0" w:space="0" w:color="auto"/>
        <w:bottom w:val="none" w:sz="0" w:space="0" w:color="auto"/>
        <w:right w:val="none" w:sz="0" w:space="0" w:color="auto"/>
      </w:divBdr>
    </w:div>
    <w:div w:id="1210723782">
      <w:bodyDiv w:val="1"/>
      <w:marLeft w:val="0"/>
      <w:marRight w:val="0"/>
      <w:marTop w:val="0"/>
      <w:marBottom w:val="0"/>
      <w:divBdr>
        <w:top w:val="none" w:sz="0" w:space="0" w:color="auto"/>
        <w:left w:val="none" w:sz="0" w:space="0" w:color="auto"/>
        <w:bottom w:val="none" w:sz="0" w:space="0" w:color="auto"/>
        <w:right w:val="none" w:sz="0" w:space="0" w:color="auto"/>
      </w:divBdr>
    </w:div>
    <w:div w:id="1423454648">
      <w:bodyDiv w:val="1"/>
      <w:marLeft w:val="0"/>
      <w:marRight w:val="0"/>
      <w:marTop w:val="0"/>
      <w:marBottom w:val="0"/>
      <w:divBdr>
        <w:top w:val="none" w:sz="0" w:space="0" w:color="auto"/>
        <w:left w:val="none" w:sz="0" w:space="0" w:color="auto"/>
        <w:bottom w:val="none" w:sz="0" w:space="0" w:color="auto"/>
        <w:right w:val="none" w:sz="0" w:space="0" w:color="auto"/>
      </w:divBdr>
    </w:div>
    <w:div w:id="1467163138">
      <w:bodyDiv w:val="1"/>
      <w:marLeft w:val="0"/>
      <w:marRight w:val="0"/>
      <w:marTop w:val="0"/>
      <w:marBottom w:val="0"/>
      <w:divBdr>
        <w:top w:val="none" w:sz="0" w:space="0" w:color="auto"/>
        <w:left w:val="none" w:sz="0" w:space="0" w:color="auto"/>
        <w:bottom w:val="none" w:sz="0" w:space="0" w:color="auto"/>
        <w:right w:val="none" w:sz="0" w:space="0" w:color="auto"/>
      </w:divBdr>
    </w:div>
    <w:div w:id="2068802435">
      <w:bodyDiv w:val="1"/>
      <w:marLeft w:val="0"/>
      <w:marRight w:val="0"/>
      <w:marTop w:val="0"/>
      <w:marBottom w:val="0"/>
      <w:divBdr>
        <w:top w:val="none" w:sz="0" w:space="0" w:color="auto"/>
        <w:left w:val="none" w:sz="0" w:space="0" w:color="auto"/>
        <w:bottom w:val="none" w:sz="0" w:space="0" w:color="auto"/>
        <w:right w:val="none" w:sz="0" w:space="0" w:color="auto"/>
      </w:divBdr>
    </w:div>
    <w:div w:id="214179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dx.edu/academic-affairs/promotion-and-tenure-inform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rive.google.com/file/d/0ByMEZreovtf5THQxNVRydUN3Wm8/view" TargetMode="External"/><Relationship Id="rId4" Type="http://schemas.openxmlformats.org/officeDocument/2006/relationships/settings" Target="settings.xml"/><Relationship Id="rId9" Type="http://schemas.openxmlformats.org/officeDocument/2006/relationships/hyperlink" Target="https://www.pdx.edu/hr/evaluating-employe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DC5B1-A835-4CFD-953B-0AE8242C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2619</Words>
  <Characters>14932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17516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Mafil Fabroquez</dc:creator>
  <cp:keywords/>
  <dc:description/>
  <cp:lastModifiedBy>Saara</cp:lastModifiedBy>
  <cp:revision>7</cp:revision>
  <cp:lastPrinted>2017-02-13T23:25:00Z</cp:lastPrinted>
  <dcterms:created xsi:type="dcterms:W3CDTF">2017-02-14T18:33:00Z</dcterms:created>
  <dcterms:modified xsi:type="dcterms:W3CDTF">2020-07-21T15:53:00Z</dcterms:modified>
</cp:coreProperties>
</file>